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E9" w:rsidRPr="00DD3FE9" w:rsidRDefault="00DD3FE9" w:rsidP="00DD3FE9">
      <w:pPr>
        <w:widowControl/>
        <w:snapToGrid w:val="0"/>
        <w:spacing w:line="560" w:lineRule="exact"/>
        <w:jc w:val="left"/>
        <w:rPr>
          <w:rFonts w:ascii="黑体" w:eastAsia="黑体" w:hAnsi="黑体" w:cs="宋体"/>
          <w:color w:val="000000"/>
          <w:kern w:val="0"/>
          <w:sz w:val="32"/>
          <w:szCs w:val="32"/>
        </w:rPr>
      </w:pPr>
      <w:r w:rsidRPr="00DD3FE9">
        <w:rPr>
          <w:rFonts w:ascii="黑体" w:eastAsia="黑体" w:hAnsi="黑体" w:cs="宋体" w:hint="eastAsia"/>
          <w:color w:val="000000"/>
          <w:kern w:val="0"/>
          <w:sz w:val="32"/>
          <w:szCs w:val="32"/>
        </w:rPr>
        <w:t>附件1</w:t>
      </w:r>
    </w:p>
    <w:p w:rsidR="00DD3FE9" w:rsidRPr="00DD3FE9" w:rsidRDefault="00DD3FE9" w:rsidP="00DD3FE9">
      <w:pPr>
        <w:widowControl/>
        <w:snapToGrid w:val="0"/>
        <w:spacing w:line="560" w:lineRule="exact"/>
        <w:jc w:val="center"/>
        <w:rPr>
          <w:rFonts w:ascii="方正小标宋_GBK" w:eastAsia="方正小标宋_GBK" w:hAnsi="Calibri" w:cs="宋体" w:hint="eastAsia"/>
          <w:kern w:val="0"/>
          <w:sz w:val="44"/>
          <w:szCs w:val="44"/>
        </w:rPr>
      </w:pPr>
      <w:r w:rsidRPr="00DD3FE9">
        <w:rPr>
          <w:rFonts w:ascii="方正小标宋_GBK" w:eastAsia="方正小标宋_GBK" w:hAnsi="Calibri" w:cs="宋体" w:hint="eastAsia"/>
          <w:kern w:val="0"/>
          <w:sz w:val="44"/>
          <w:szCs w:val="44"/>
        </w:rPr>
        <w:t>继续有效的行政规范性文件目录</w:t>
      </w:r>
    </w:p>
    <w:p w:rsidR="00DD3FE9" w:rsidRPr="00DD3FE9" w:rsidRDefault="00DD3FE9" w:rsidP="00DD3FE9">
      <w:pPr>
        <w:widowControl/>
        <w:snapToGrid w:val="0"/>
        <w:spacing w:line="560" w:lineRule="exact"/>
        <w:ind w:firstLine="552"/>
        <w:jc w:val="left"/>
        <w:rPr>
          <w:rFonts w:ascii="楷体_GB2312" w:eastAsia="楷体_GB2312" w:hAnsi="Calibri" w:cs="宋体" w:hint="eastAsia"/>
          <w:sz w:val="32"/>
          <w:szCs w:val="32"/>
        </w:rPr>
      </w:pPr>
      <w:r w:rsidRPr="00DD3FE9">
        <w:rPr>
          <w:rFonts w:ascii="小标宋" w:eastAsia="小标宋" w:hAnsi="Calibri" w:cs="宋体" w:hint="eastAsia"/>
          <w:kern w:val="0"/>
          <w:sz w:val="44"/>
          <w:szCs w:val="44"/>
        </w:rPr>
        <w:t xml:space="preserve">            </w:t>
      </w:r>
      <w:r w:rsidRPr="00DD3FE9">
        <w:rPr>
          <w:rFonts w:ascii="楷体_GB2312" w:eastAsia="楷体_GB2312" w:hAnsi="Calibri" w:cs="宋体" w:hint="eastAsia"/>
          <w:sz w:val="32"/>
          <w:szCs w:val="32"/>
        </w:rPr>
        <w:t>（31件）</w:t>
      </w:r>
    </w:p>
    <w:p w:rsidR="00DD3FE9" w:rsidRPr="00DD3FE9" w:rsidRDefault="00DD3FE9" w:rsidP="00DD3FE9">
      <w:pPr>
        <w:widowControl/>
        <w:snapToGrid w:val="0"/>
        <w:spacing w:line="560" w:lineRule="exact"/>
        <w:ind w:firstLine="552"/>
        <w:jc w:val="left"/>
        <w:rPr>
          <w:rFonts w:ascii="楷体_GB2312" w:eastAsia="楷体_GB2312" w:hAnsi="Calibri" w:cs="宋体" w:hint="eastAsia"/>
          <w:sz w:val="32"/>
          <w:szCs w:val="32"/>
        </w:rPr>
      </w:pPr>
      <w:r w:rsidRPr="00DD3FE9">
        <w:rPr>
          <w:rFonts w:ascii="楷体_GB2312" w:eastAsia="楷体_GB2312" w:hAnsi="Calibri" w:cs="宋体" w:hint="eastAsia"/>
          <w:sz w:val="32"/>
          <w:szCs w:val="32"/>
        </w:rPr>
        <w:t xml:space="preserve"> </w:t>
      </w:r>
    </w:p>
    <w:tbl>
      <w:tblPr>
        <w:tblW w:w="9096" w:type="dxa"/>
        <w:jc w:val="center"/>
        <w:tblLayout w:type="fixed"/>
        <w:tblCellMar>
          <w:left w:w="0" w:type="dxa"/>
          <w:right w:w="0" w:type="dxa"/>
        </w:tblCellMar>
        <w:tblLook w:val="04A0"/>
      </w:tblPr>
      <w:tblGrid>
        <w:gridCol w:w="744"/>
        <w:gridCol w:w="5563"/>
        <w:gridCol w:w="2789"/>
      </w:tblGrid>
      <w:tr w:rsidR="00DD3FE9" w:rsidRPr="00DD3FE9" w:rsidTr="00DD3FE9">
        <w:trPr>
          <w:trHeight w:val="348"/>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黑体" w:eastAsia="黑体" w:hAnsi="黑体" w:cs="宋体"/>
                <w:color w:val="000000"/>
                <w:sz w:val="30"/>
                <w:szCs w:val="30"/>
              </w:rPr>
            </w:pPr>
            <w:r w:rsidRPr="00DD3FE9">
              <w:rPr>
                <w:rFonts w:ascii="黑体" w:eastAsia="黑体" w:hAnsi="黑体" w:cs="宋体" w:hint="eastAsia"/>
                <w:color w:val="000000"/>
                <w:kern w:val="0"/>
                <w:sz w:val="30"/>
                <w:szCs w:val="30"/>
              </w:rPr>
              <w:t>序号</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黑体" w:eastAsia="黑体" w:hAnsi="黑体" w:cs="宋体"/>
                <w:color w:val="000000"/>
                <w:sz w:val="30"/>
                <w:szCs w:val="30"/>
              </w:rPr>
            </w:pPr>
            <w:r w:rsidRPr="00DD3FE9">
              <w:rPr>
                <w:rFonts w:ascii="黑体" w:eastAsia="黑体" w:hAnsi="黑体" w:cs="宋体" w:hint="eastAsia"/>
                <w:color w:val="000000"/>
                <w:kern w:val="0"/>
                <w:sz w:val="30"/>
                <w:szCs w:val="30"/>
              </w:rPr>
              <w:t>文件名称</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黑体" w:eastAsia="黑体" w:hAnsi="黑体" w:cs="宋体"/>
                <w:color w:val="000000"/>
                <w:sz w:val="30"/>
                <w:szCs w:val="30"/>
              </w:rPr>
            </w:pPr>
            <w:r w:rsidRPr="00DD3FE9">
              <w:rPr>
                <w:rFonts w:ascii="黑体" w:eastAsia="黑体" w:hAnsi="黑体" w:cs="宋体" w:hint="eastAsia"/>
                <w:color w:val="000000"/>
                <w:kern w:val="0"/>
                <w:sz w:val="30"/>
                <w:szCs w:val="30"/>
              </w:rPr>
              <w:t>文号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1</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关于印发《杭州市计划生育公益金管理实施办法（修订）》的通知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杭人口计生委〔2007〕38号</w:t>
            </w:r>
          </w:p>
        </w:tc>
      </w:tr>
      <w:tr w:rsidR="00DD3FE9" w:rsidRPr="00DD3FE9" w:rsidTr="00DD3FE9">
        <w:trPr>
          <w:trHeight w:val="288"/>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2</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关于印发《杭州市继续医学教育项目管理办法》和《杭州市继续医学教育学分管理办法》的通知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杭卫发〔2008〕29号</w:t>
            </w:r>
          </w:p>
        </w:tc>
      </w:tr>
      <w:tr w:rsidR="00DD3FE9" w:rsidRPr="00DD3FE9" w:rsidTr="00DD3FE9">
        <w:trPr>
          <w:trHeight w:val="380"/>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3</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关于进一步加强全市妇幼卫生工作的通知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杭卫发〔2008〕78号）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4</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市卫生局关于加强助产技术服务机构孕产妇保健服务工作的通知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杭卫发〔2008〕158号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5</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关于下发《杭州市住院医师规范化培训学员和培训基地经费补助办法》的通知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杭卫发〔2010〕217号</w:t>
            </w:r>
          </w:p>
        </w:tc>
      </w:tr>
      <w:tr w:rsidR="00DD3FE9" w:rsidRPr="00DD3FE9" w:rsidTr="00DD3FE9">
        <w:trPr>
          <w:trHeight w:val="288"/>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6</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杭州市卫生局关于加强中药饮片处方管理的通知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kern w:val="0"/>
                <w:sz w:val="30"/>
                <w:szCs w:val="30"/>
              </w:rPr>
            </w:pPr>
            <w:r w:rsidRPr="00DD3FE9">
              <w:rPr>
                <w:rFonts w:ascii="仿宋_GB2312" w:eastAsia="仿宋_GB2312" w:hAnsi="Calibri" w:cs="宋体" w:hint="eastAsia"/>
                <w:color w:val="000000"/>
                <w:kern w:val="0"/>
                <w:sz w:val="30"/>
                <w:szCs w:val="30"/>
              </w:rPr>
              <w:t>杭卫发〔2011〕</w:t>
            </w:r>
          </w:p>
          <w:p w:rsidR="00DD3FE9" w:rsidRPr="00DD3FE9" w:rsidRDefault="00DD3FE9" w:rsidP="00DD3FE9">
            <w:pPr>
              <w:widowControl/>
              <w:snapToGrid w:val="0"/>
              <w:spacing w:line="288" w:lineRule="atLeas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9号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7</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关于印发《杭州市卫生系统医疗服务阳光用药工程实施方案》的通知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杭卫发〔2012〕98号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8</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关于推进全市医疗机构医学检验医学影像检查结果互认的意见</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杭卫发〔2013〕231号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9</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杭州市卫生局 杭州市财政局关于调整杭州市新生儿疾病筛查免费项目的通知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杭卫发〔2013〕346号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10</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关于印发《杭州市属医疗机构处方集中点评工作实施方案》的通知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杭卫办〔2014〕21号</w:t>
            </w:r>
          </w:p>
        </w:tc>
      </w:tr>
      <w:tr w:rsidR="00DD3FE9" w:rsidRPr="00DD3FE9" w:rsidTr="00DD3FE9">
        <w:trPr>
          <w:trHeight w:val="288"/>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lastRenderedPageBreak/>
              <w:t>11</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关于印发《杭州市家庭病床服务规范（试行）》的通知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杭卫计发〔2014〕85号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12</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关于市级医院与主城区社区卫生服务中心开展医联体工作的实施意见（试行）</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杭卫计发〔2015〕234号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13</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关于做好开展医疗康复护理服务的医疗护理机构管理工作的通知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杭卫计发〔2015〕55号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14</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关于印发《杭州市卫生计生委关于进一步加强卫生计生政务信息公开工作实施意见》的通知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杭卫计发〔2015〕167号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15</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关于积极推进支持浙商创业创新工作促进杭州卫生事业发展的通知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杭卫计发〔2015〕256号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16</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关于印发在杭医疗机构标识系统国际化工作实施方案的通知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杭卫计发〔2016〕36号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17</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关于做好杭州市医养结合及护理型养老体系建设的实施意见</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杭卫计发〔2017〕6号</w:t>
            </w:r>
          </w:p>
        </w:tc>
      </w:tr>
      <w:tr w:rsidR="00DD3FE9" w:rsidRPr="00DD3FE9" w:rsidTr="00DD3FE9">
        <w:trPr>
          <w:trHeight w:val="864"/>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18</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杭州市卫生和计划生育委员会 杭州市人力资源和社会保障局关于印发《杭州市县及以下卫生高级专业技术职务任职资格评价条件（试行）》的通知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杭卫计发〔2017〕231号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19</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关于印发杭州市建设“智慧健康”打造“智慧医疗升级版”三年行动计划（2018—2020）的通知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杭卫计发〔2018〕60号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20</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关于印发杭州市公共卫生服务水平提升工程三年行动计划的通知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杭卫计发〔2018〕71号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21</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关于扩大慢性病长期处方药品配送服务试</w:t>
            </w:r>
            <w:r w:rsidRPr="00DD3FE9">
              <w:rPr>
                <w:rFonts w:ascii="仿宋_GB2312" w:eastAsia="仿宋_GB2312" w:hAnsi="Calibri" w:cs="宋体" w:hint="eastAsia"/>
                <w:color w:val="000000"/>
                <w:kern w:val="0"/>
                <w:sz w:val="30"/>
                <w:szCs w:val="30"/>
              </w:rPr>
              <w:lastRenderedPageBreak/>
              <w:t>点与建设杭州智慧云药房的通知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lastRenderedPageBreak/>
              <w:t>杭卫计发〔2018〕73</w:t>
            </w:r>
            <w:r w:rsidRPr="00DD3FE9">
              <w:rPr>
                <w:rFonts w:ascii="仿宋_GB2312" w:eastAsia="仿宋_GB2312" w:hAnsi="Calibri" w:cs="宋体" w:hint="eastAsia"/>
                <w:color w:val="000000"/>
                <w:kern w:val="0"/>
                <w:sz w:val="30"/>
                <w:szCs w:val="30"/>
              </w:rPr>
              <w:lastRenderedPageBreak/>
              <w:t>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lastRenderedPageBreak/>
              <w:t>22</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关于印发《杭州市公共场所母婴设施建设管理服务规范（试行）》的通知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杭卫计发〔2018〕74号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23</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关于印发杭州市提升医疗质量和服务能力三年行动计划（2018—2020年）的通知》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杭卫计发〔2018〕87号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24</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杭州市卫生计生委关于深化卫生计生“放管服”“最多跑一次”改革的通知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杭卫计发〔2018〕180号</w:t>
            </w:r>
          </w:p>
        </w:tc>
      </w:tr>
      <w:tr w:rsidR="00DD3FE9" w:rsidRPr="00DD3FE9" w:rsidTr="00DD3FE9">
        <w:trPr>
          <w:trHeight w:val="288"/>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25</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关于印发《杭州市医坛新秀培养工程实施办法》的通知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杭卫计发〔2018〕198号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26</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lef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关于印发《杭州市基层医疗机构中医特色专科（专病）评选管理办法》的通知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杭卫计发〔2018〕216号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27</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关于印发杭州市新生儿先天性心脏病筛查项目实施工作方案的通知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杭卫发〔2019〕16号</w:t>
            </w:r>
          </w:p>
        </w:tc>
      </w:tr>
      <w:tr w:rsidR="00DD3FE9" w:rsidRPr="00DD3FE9" w:rsidTr="00DD3FE9">
        <w:trPr>
          <w:trHeight w:val="288"/>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28</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关于印发杭州市急救中心急救站点建设标准的通知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杭卫发〔2019〕29号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29</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杭州市卫生健康委员会关于切实加强医疗机构中药饮片管理的意见</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杭卫发〔2019〕32号</w:t>
            </w:r>
          </w:p>
        </w:tc>
      </w:tr>
      <w:tr w:rsidR="00DD3FE9" w:rsidRPr="00DD3FE9" w:rsidTr="00DD3FE9">
        <w:trPr>
          <w:trHeight w:val="576"/>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30</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关于印发《杭州市医疗质量控制中心管理办法（试行）》的通知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560" w:lineRule="exac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杭卫发〔2019〕129号</w:t>
            </w:r>
          </w:p>
        </w:tc>
      </w:tr>
      <w:tr w:rsidR="00DD3FE9" w:rsidRPr="00DD3FE9" w:rsidTr="00DD3FE9">
        <w:trPr>
          <w:trHeight w:val="288"/>
          <w:jc w:val="center"/>
        </w:trPr>
        <w:tc>
          <w:tcPr>
            <w:tcW w:w="7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31</w:t>
            </w:r>
          </w:p>
        </w:tc>
        <w:tc>
          <w:tcPr>
            <w:tcW w:w="5563"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关于做好杭州市诊所备案试点工作的通知</w:t>
            </w:r>
          </w:p>
        </w:tc>
        <w:tc>
          <w:tcPr>
            <w:tcW w:w="2789"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DD3FE9" w:rsidRPr="00DD3FE9" w:rsidRDefault="00DD3FE9" w:rsidP="00DD3FE9">
            <w:pPr>
              <w:widowControl/>
              <w:snapToGrid w:val="0"/>
              <w:spacing w:line="288" w:lineRule="atLeast"/>
              <w:jc w:val="center"/>
              <w:textAlignment w:val="center"/>
              <w:rPr>
                <w:rFonts w:ascii="仿宋_GB2312" w:eastAsia="仿宋_GB2312" w:hAnsi="Calibri" w:cs="宋体"/>
                <w:color w:val="000000"/>
                <w:sz w:val="30"/>
                <w:szCs w:val="30"/>
              </w:rPr>
            </w:pPr>
            <w:r w:rsidRPr="00DD3FE9">
              <w:rPr>
                <w:rFonts w:ascii="仿宋_GB2312" w:eastAsia="仿宋_GB2312" w:hAnsi="Calibri" w:cs="宋体" w:hint="eastAsia"/>
                <w:color w:val="000000"/>
                <w:kern w:val="0"/>
                <w:sz w:val="30"/>
                <w:szCs w:val="30"/>
              </w:rPr>
              <w:t>杭卫发〔2019〕164号</w:t>
            </w:r>
          </w:p>
        </w:tc>
      </w:tr>
    </w:tbl>
    <w:p w:rsidR="003A5353" w:rsidRDefault="003A5353"/>
    <w:sectPr w:rsidR="003A53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353" w:rsidRDefault="003A5353" w:rsidP="00DD3FE9">
      <w:r>
        <w:separator/>
      </w:r>
    </w:p>
  </w:endnote>
  <w:endnote w:type="continuationSeparator" w:id="1">
    <w:p w:rsidR="003A5353" w:rsidRDefault="003A5353" w:rsidP="00DD3F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353" w:rsidRDefault="003A5353" w:rsidP="00DD3FE9">
      <w:r>
        <w:separator/>
      </w:r>
    </w:p>
  </w:footnote>
  <w:footnote w:type="continuationSeparator" w:id="1">
    <w:p w:rsidR="003A5353" w:rsidRDefault="003A5353" w:rsidP="00DD3F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3FE9"/>
    <w:rsid w:val="003A5353"/>
    <w:rsid w:val="00DD3F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3FE9"/>
    <w:rPr>
      <w:sz w:val="18"/>
      <w:szCs w:val="18"/>
    </w:rPr>
  </w:style>
  <w:style w:type="paragraph" w:styleId="a4">
    <w:name w:val="footer"/>
    <w:basedOn w:val="a"/>
    <w:link w:val="Char0"/>
    <w:uiPriority w:val="99"/>
    <w:semiHidden/>
    <w:unhideWhenUsed/>
    <w:rsid w:val="00DD3F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3FE9"/>
    <w:rPr>
      <w:sz w:val="18"/>
      <w:szCs w:val="18"/>
    </w:rPr>
  </w:style>
  <w:style w:type="paragraph" w:styleId="a5">
    <w:name w:val="Normal (Web)"/>
    <w:basedOn w:val="a"/>
    <w:uiPriority w:val="99"/>
    <w:unhideWhenUsed/>
    <w:rsid w:val="00DD3FE9"/>
    <w:pPr>
      <w:spacing w:before="100" w:beforeAutospacing="1" w:after="100" w:afterAutospacing="1"/>
      <w:jc w:val="left"/>
    </w:pPr>
    <w:rPr>
      <w:rFonts w:ascii="Calibri" w:eastAsia="宋体" w:hAnsi="Calibri"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242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1355</Characters>
  <Application>Microsoft Office Word</Application>
  <DocSecurity>0</DocSecurity>
  <Lines>11</Lines>
  <Paragraphs>3</Paragraphs>
  <ScaleCrop>false</ScaleCrop>
  <Company>Lenovo</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2020-09-28T06:28:00Z</dcterms:created>
  <dcterms:modified xsi:type="dcterms:W3CDTF">2020-09-28T06:28:00Z</dcterms:modified>
</cp:coreProperties>
</file>