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4636">
      <w:pPr>
        <w:jc w:val="left"/>
        <w:rPr>
          <w:rFonts w:ascii="黑体" w:eastAsia="黑体" w:hAnsi="黑体" w:cs="黑体" w:hint="eastAsia"/>
          <w:sz w:val="32"/>
          <w:szCs w:val="32"/>
        </w:rPr>
      </w:pPr>
      <w:bookmarkStart w:id="0" w:name="_Hlk536535965"/>
      <w:bookmarkStart w:id="1" w:name="zhengwen"/>
      <w:r>
        <w:rPr>
          <w:rFonts w:ascii="黑体" w:eastAsia="黑体" w:hAnsi="黑体" w:cs="黑体" w:hint="eastAsia"/>
          <w:sz w:val="32"/>
          <w:szCs w:val="32"/>
        </w:rPr>
        <w:t>附件</w:t>
      </w:r>
    </w:p>
    <w:p w:rsidR="00000000" w:rsidRDefault="00C44636">
      <w:pPr>
        <w:jc w:val="center"/>
        <w:rPr>
          <w:rFonts w:ascii="黑体" w:eastAsia="黑体" w:hAnsi="黑体" w:cs="黑体" w:hint="eastAsia"/>
          <w:bCs/>
          <w:sz w:val="44"/>
          <w:szCs w:val="44"/>
        </w:rPr>
      </w:pPr>
      <w:r>
        <w:rPr>
          <w:rFonts w:ascii="黑体" w:eastAsia="黑体" w:hAnsi="黑体" w:cs="黑体" w:hint="eastAsia"/>
          <w:bCs/>
          <w:sz w:val="44"/>
          <w:szCs w:val="44"/>
        </w:rPr>
        <w:t>杭州市应急管理局行政规范性文件目录</w:t>
      </w:r>
    </w:p>
    <w:p w:rsidR="00000000" w:rsidRDefault="00C44636"/>
    <w:p w:rsidR="00000000" w:rsidRDefault="00C44636">
      <w:pPr>
        <w:rPr>
          <w:rFonts w:ascii="黑体" w:eastAsia="黑体"/>
          <w:bCs/>
          <w:sz w:val="32"/>
          <w:szCs w:val="32"/>
        </w:rPr>
      </w:pPr>
      <w:r>
        <w:rPr>
          <w:rFonts w:ascii="黑体" w:eastAsia="黑体" w:hint="eastAsia"/>
          <w:bCs/>
          <w:sz w:val="32"/>
          <w:szCs w:val="32"/>
        </w:rPr>
        <w:t>一、继续有效的行政规范性文件</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6494"/>
        <w:gridCol w:w="3645"/>
        <w:gridCol w:w="3015"/>
      </w:tblGrid>
      <w:tr w:rsidR="00000000">
        <w:tc>
          <w:tcPr>
            <w:tcW w:w="876"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序号</w:t>
            </w:r>
          </w:p>
        </w:tc>
        <w:tc>
          <w:tcPr>
            <w:tcW w:w="6494"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文件名称</w:t>
            </w:r>
          </w:p>
        </w:tc>
        <w:tc>
          <w:tcPr>
            <w:tcW w:w="3645"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文号</w:t>
            </w:r>
          </w:p>
        </w:tc>
        <w:tc>
          <w:tcPr>
            <w:tcW w:w="3015"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三统一编号</w:t>
            </w:r>
          </w:p>
        </w:tc>
      </w:tr>
      <w:tr w:rsidR="00000000">
        <w:tc>
          <w:tcPr>
            <w:tcW w:w="876" w:type="dxa"/>
            <w:vAlign w:val="center"/>
          </w:tcPr>
          <w:p w:rsidR="00000000" w:rsidRDefault="00C44636">
            <w:pPr>
              <w:jc w:val="center"/>
              <w:rPr>
                <w:rFonts w:ascii="仿宋" w:eastAsia="仿宋" w:hAnsi="仿宋"/>
                <w:sz w:val="28"/>
                <w:szCs w:val="28"/>
              </w:rPr>
            </w:pPr>
            <w:r>
              <w:rPr>
                <w:rFonts w:ascii="仿宋" w:eastAsia="仿宋" w:hAnsi="仿宋"/>
                <w:sz w:val="28"/>
                <w:szCs w:val="28"/>
              </w:rPr>
              <w:t>1</w:t>
            </w:r>
          </w:p>
        </w:tc>
        <w:tc>
          <w:tcPr>
            <w:tcW w:w="6494"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杭州市安全生产监督管理局关于印发《杭州市劳务派遣安全管理规定》的通知</w:t>
            </w:r>
          </w:p>
        </w:tc>
        <w:tc>
          <w:tcPr>
            <w:tcW w:w="3645"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杭安监管〔</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号</w:t>
            </w:r>
          </w:p>
        </w:tc>
        <w:tc>
          <w:tcPr>
            <w:tcW w:w="3015"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w:t>
            </w:r>
          </w:p>
        </w:tc>
      </w:tr>
      <w:tr w:rsidR="00000000">
        <w:tc>
          <w:tcPr>
            <w:tcW w:w="876" w:type="dxa"/>
            <w:vAlign w:val="center"/>
          </w:tcPr>
          <w:p w:rsidR="00000000" w:rsidRDefault="00C44636">
            <w:pPr>
              <w:jc w:val="center"/>
              <w:rPr>
                <w:rFonts w:ascii="仿宋" w:eastAsia="仿宋" w:hAnsi="仿宋"/>
                <w:sz w:val="28"/>
                <w:szCs w:val="28"/>
              </w:rPr>
            </w:pPr>
            <w:r>
              <w:rPr>
                <w:rFonts w:ascii="仿宋" w:eastAsia="仿宋" w:hAnsi="仿宋"/>
                <w:sz w:val="28"/>
                <w:szCs w:val="28"/>
              </w:rPr>
              <w:t>2</w:t>
            </w:r>
          </w:p>
        </w:tc>
        <w:tc>
          <w:tcPr>
            <w:tcW w:w="6494"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杭州市应急管理局关于印发《杭州市安全生产行政处罚裁量基准》的通知</w:t>
            </w:r>
          </w:p>
        </w:tc>
        <w:tc>
          <w:tcPr>
            <w:tcW w:w="3645"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杭应急法规〔</w:t>
            </w: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18</w:t>
            </w:r>
            <w:r>
              <w:rPr>
                <w:rFonts w:ascii="仿宋" w:eastAsia="仿宋" w:hAnsi="仿宋" w:hint="eastAsia"/>
                <w:sz w:val="28"/>
                <w:szCs w:val="28"/>
              </w:rPr>
              <w:t>号</w:t>
            </w:r>
          </w:p>
        </w:tc>
        <w:tc>
          <w:tcPr>
            <w:tcW w:w="3015" w:type="dxa"/>
            <w:vAlign w:val="center"/>
          </w:tcPr>
          <w:p w:rsidR="00000000" w:rsidRDefault="00C44636">
            <w:pPr>
              <w:jc w:val="center"/>
              <w:rPr>
                <w:rFonts w:ascii="仿宋" w:eastAsia="仿宋" w:hAnsi="仿宋"/>
                <w:sz w:val="28"/>
                <w:szCs w:val="28"/>
              </w:rPr>
            </w:pPr>
            <w:r>
              <w:rPr>
                <w:rFonts w:ascii="仿宋" w:eastAsia="仿宋" w:hAnsi="仿宋"/>
                <w:sz w:val="28"/>
                <w:szCs w:val="28"/>
              </w:rPr>
              <w:t>ZJAC70-2019-0001</w:t>
            </w:r>
          </w:p>
        </w:tc>
      </w:tr>
      <w:tr w:rsidR="00000000">
        <w:tc>
          <w:tcPr>
            <w:tcW w:w="876" w:type="dxa"/>
            <w:vAlign w:val="center"/>
          </w:tcPr>
          <w:p w:rsidR="00000000" w:rsidRDefault="00C44636">
            <w:pPr>
              <w:jc w:val="center"/>
              <w:rPr>
                <w:rFonts w:ascii="仿宋" w:eastAsia="仿宋" w:hAnsi="仿宋"/>
                <w:sz w:val="28"/>
                <w:szCs w:val="28"/>
              </w:rPr>
            </w:pPr>
            <w:r>
              <w:rPr>
                <w:rFonts w:ascii="仿宋" w:eastAsia="仿宋" w:hAnsi="仿宋"/>
                <w:sz w:val="28"/>
                <w:szCs w:val="28"/>
              </w:rPr>
              <w:t>3</w:t>
            </w:r>
          </w:p>
        </w:tc>
        <w:tc>
          <w:tcPr>
            <w:tcW w:w="6494"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杭州市应急管理局关于印</w:t>
            </w:r>
            <w:r>
              <w:rPr>
                <w:rFonts w:ascii="仿宋" w:eastAsia="仿宋" w:hAnsi="仿宋" w:hint="eastAsia"/>
                <w:sz w:val="28"/>
                <w:szCs w:val="28"/>
              </w:rPr>
              <w:t>发《杭州市工矿商贸行业领域安全生产举报奖励实施办法》的通知</w:t>
            </w:r>
          </w:p>
        </w:tc>
        <w:tc>
          <w:tcPr>
            <w:tcW w:w="3645"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杭应急〔</w:t>
            </w: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sz w:val="28"/>
                <w:szCs w:val="28"/>
              </w:rPr>
              <w:t>19</w:t>
            </w:r>
            <w:r>
              <w:rPr>
                <w:rFonts w:ascii="仿宋" w:eastAsia="仿宋" w:hAnsi="仿宋" w:hint="eastAsia"/>
                <w:sz w:val="28"/>
                <w:szCs w:val="28"/>
              </w:rPr>
              <w:t>号</w:t>
            </w:r>
          </w:p>
        </w:tc>
        <w:tc>
          <w:tcPr>
            <w:tcW w:w="3015" w:type="dxa"/>
            <w:vAlign w:val="center"/>
          </w:tcPr>
          <w:p w:rsidR="00000000" w:rsidRDefault="00C44636">
            <w:pPr>
              <w:ind w:firstLineChars="50" w:firstLine="140"/>
              <w:jc w:val="center"/>
              <w:rPr>
                <w:rFonts w:ascii="仿宋" w:eastAsia="仿宋" w:hAnsi="仿宋"/>
                <w:sz w:val="28"/>
                <w:szCs w:val="28"/>
              </w:rPr>
            </w:pPr>
            <w:r>
              <w:rPr>
                <w:rFonts w:ascii="仿宋" w:eastAsia="仿宋" w:hAnsi="仿宋"/>
                <w:sz w:val="28"/>
                <w:szCs w:val="28"/>
              </w:rPr>
              <w:t>ZJAC70-2019-0002</w:t>
            </w:r>
          </w:p>
        </w:tc>
      </w:tr>
      <w:tr w:rsidR="00000000">
        <w:tc>
          <w:tcPr>
            <w:tcW w:w="876"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4</w:t>
            </w:r>
          </w:p>
        </w:tc>
        <w:tc>
          <w:tcPr>
            <w:tcW w:w="6494"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杭州市应急管理局关于进一步提升制造业企业危险化学品使用安全生产条件的通知</w:t>
            </w:r>
          </w:p>
        </w:tc>
        <w:tc>
          <w:tcPr>
            <w:tcW w:w="3645"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杭应急〔</w:t>
            </w:r>
            <w:r>
              <w:rPr>
                <w:rFonts w:ascii="仿宋" w:eastAsia="仿宋" w:hAnsi="仿宋" w:hint="eastAsia"/>
                <w:sz w:val="28"/>
                <w:szCs w:val="28"/>
              </w:rPr>
              <w:t>2020</w:t>
            </w:r>
            <w:r>
              <w:rPr>
                <w:rFonts w:ascii="仿宋" w:eastAsia="仿宋" w:hAnsi="仿宋" w:hint="eastAsia"/>
                <w:sz w:val="28"/>
                <w:szCs w:val="28"/>
              </w:rPr>
              <w:t>〕</w:t>
            </w:r>
            <w:r>
              <w:rPr>
                <w:rFonts w:ascii="仿宋" w:eastAsia="仿宋" w:hAnsi="仿宋" w:hint="eastAsia"/>
                <w:sz w:val="28"/>
                <w:szCs w:val="28"/>
              </w:rPr>
              <w:t>21</w:t>
            </w:r>
            <w:r>
              <w:rPr>
                <w:rFonts w:ascii="仿宋" w:eastAsia="仿宋" w:hAnsi="仿宋" w:hint="eastAsia"/>
                <w:sz w:val="28"/>
                <w:szCs w:val="28"/>
              </w:rPr>
              <w:t>号</w:t>
            </w:r>
          </w:p>
        </w:tc>
        <w:tc>
          <w:tcPr>
            <w:tcW w:w="3015" w:type="dxa"/>
            <w:vAlign w:val="center"/>
          </w:tcPr>
          <w:p w:rsidR="00000000" w:rsidRDefault="00C44636">
            <w:pPr>
              <w:ind w:firstLineChars="50" w:firstLine="140"/>
              <w:jc w:val="center"/>
              <w:rPr>
                <w:rFonts w:ascii="仿宋" w:eastAsia="仿宋" w:hAnsi="仿宋"/>
                <w:sz w:val="28"/>
                <w:szCs w:val="28"/>
              </w:rPr>
            </w:pPr>
            <w:r>
              <w:rPr>
                <w:rFonts w:ascii="仿宋" w:eastAsia="仿宋" w:hAnsi="仿宋"/>
                <w:sz w:val="28"/>
                <w:szCs w:val="28"/>
              </w:rPr>
              <w:t>ZJAC70-2020-0001</w:t>
            </w:r>
          </w:p>
        </w:tc>
      </w:tr>
    </w:tbl>
    <w:p w:rsidR="00000000" w:rsidRDefault="00C44636">
      <w:pPr>
        <w:rPr>
          <w:rFonts w:ascii="黑体" w:eastAsia="黑体" w:hAnsi="黑体" w:cs="黑体" w:hint="eastAsia"/>
          <w:bCs/>
          <w:sz w:val="32"/>
          <w:szCs w:val="32"/>
        </w:rPr>
      </w:pPr>
    </w:p>
    <w:p w:rsidR="00000000" w:rsidRDefault="00C44636">
      <w:pPr>
        <w:rPr>
          <w:rFonts w:ascii="黑体" w:eastAsia="黑体" w:hAnsi="黑体" w:cs="黑体" w:hint="eastAsia"/>
          <w:bCs/>
          <w:sz w:val="32"/>
          <w:szCs w:val="32"/>
        </w:rPr>
      </w:pPr>
      <w:r>
        <w:rPr>
          <w:rFonts w:ascii="黑体" w:eastAsia="黑体" w:hAnsi="黑体" w:cs="黑体" w:hint="eastAsia"/>
          <w:bCs/>
          <w:sz w:val="32"/>
          <w:szCs w:val="32"/>
        </w:rPr>
        <w:lastRenderedPageBreak/>
        <w:t>二、废止的行政规范性文件</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3402"/>
        <w:gridCol w:w="3119"/>
      </w:tblGrid>
      <w:tr w:rsidR="00000000">
        <w:tc>
          <w:tcPr>
            <w:tcW w:w="959"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序号</w:t>
            </w:r>
          </w:p>
        </w:tc>
        <w:tc>
          <w:tcPr>
            <w:tcW w:w="6520"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文件名称</w:t>
            </w:r>
          </w:p>
        </w:tc>
        <w:tc>
          <w:tcPr>
            <w:tcW w:w="3402" w:type="dxa"/>
            <w:vAlign w:val="center"/>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文号</w:t>
            </w:r>
          </w:p>
        </w:tc>
        <w:tc>
          <w:tcPr>
            <w:tcW w:w="3119" w:type="dxa"/>
          </w:tcPr>
          <w:p w:rsidR="00000000" w:rsidRDefault="00C44636">
            <w:pPr>
              <w:jc w:val="center"/>
              <w:rPr>
                <w:rFonts w:ascii="黑体" w:eastAsia="黑体" w:hAnsi="黑体" w:cs="黑体" w:hint="eastAsia"/>
                <w:bCs/>
                <w:sz w:val="30"/>
                <w:szCs w:val="30"/>
              </w:rPr>
            </w:pPr>
            <w:r>
              <w:rPr>
                <w:rFonts w:ascii="黑体" w:eastAsia="黑体" w:hAnsi="黑体" w:cs="黑体" w:hint="eastAsia"/>
                <w:bCs/>
                <w:sz w:val="30"/>
                <w:szCs w:val="30"/>
              </w:rPr>
              <w:t>三统一编号</w:t>
            </w:r>
          </w:p>
        </w:tc>
      </w:tr>
      <w:tr w:rsidR="00000000">
        <w:tc>
          <w:tcPr>
            <w:tcW w:w="959"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1</w:t>
            </w:r>
          </w:p>
        </w:tc>
        <w:tc>
          <w:tcPr>
            <w:tcW w:w="6520"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杭州市安全生产监督管理局关于印发《杭州市危险化学品单位人员安全生产从业条件管理规定》的通知</w:t>
            </w:r>
          </w:p>
        </w:tc>
        <w:tc>
          <w:tcPr>
            <w:tcW w:w="3402"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杭安监管审批〔</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52</w:t>
            </w:r>
            <w:r>
              <w:rPr>
                <w:rFonts w:ascii="仿宋" w:eastAsia="仿宋" w:hAnsi="仿宋" w:hint="eastAsia"/>
                <w:sz w:val="28"/>
                <w:szCs w:val="28"/>
              </w:rPr>
              <w:t>号</w:t>
            </w:r>
          </w:p>
        </w:tc>
        <w:tc>
          <w:tcPr>
            <w:tcW w:w="3119"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w:t>
            </w:r>
          </w:p>
        </w:tc>
      </w:tr>
      <w:tr w:rsidR="00000000">
        <w:tc>
          <w:tcPr>
            <w:tcW w:w="959" w:type="dxa"/>
            <w:vAlign w:val="center"/>
          </w:tcPr>
          <w:p w:rsidR="00000000" w:rsidRDefault="00C44636">
            <w:pPr>
              <w:jc w:val="center"/>
              <w:rPr>
                <w:rFonts w:ascii="仿宋" w:eastAsia="仿宋" w:hAnsi="仿宋"/>
                <w:sz w:val="28"/>
                <w:szCs w:val="28"/>
              </w:rPr>
            </w:pPr>
            <w:r>
              <w:rPr>
                <w:rFonts w:ascii="仿宋" w:eastAsia="仿宋" w:hAnsi="仿宋"/>
                <w:sz w:val="28"/>
                <w:szCs w:val="28"/>
              </w:rPr>
              <w:t>2</w:t>
            </w:r>
          </w:p>
        </w:tc>
        <w:tc>
          <w:tcPr>
            <w:tcW w:w="6520"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杭州市安全生产监督管理局关于印发《杭州市安全评</w:t>
            </w:r>
            <w:r>
              <w:rPr>
                <w:rFonts w:ascii="仿宋" w:eastAsia="仿宋" w:hAnsi="仿宋" w:hint="eastAsia"/>
                <w:sz w:val="28"/>
                <w:szCs w:val="28"/>
              </w:rPr>
              <w:t>价机构信用评价管理办法》的通知</w:t>
            </w:r>
          </w:p>
        </w:tc>
        <w:tc>
          <w:tcPr>
            <w:tcW w:w="3402"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杭安监管法规〔</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164</w:t>
            </w:r>
            <w:r>
              <w:rPr>
                <w:rFonts w:ascii="仿宋" w:eastAsia="仿宋" w:hAnsi="仿宋" w:hint="eastAsia"/>
                <w:sz w:val="28"/>
                <w:szCs w:val="28"/>
              </w:rPr>
              <w:t>号</w:t>
            </w:r>
          </w:p>
        </w:tc>
        <w:tc>
          <w:tcPr>
            <w:tcW w:w="3119"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w:t>
            </w:r>
          </w:p>
        </w:tc>
      </w:tr>
      <w:tr w:rsidR="00000000">
        <w:tc>
          <w:tcPr>
            <w:tcW w:w="959" w:type="dxa"/>
            <w:vAlign w:val="center"/>
          </w:tcPr>
          <w:p w:rsidR="00000000" w:rsidRDefault="00C44636">
            <w:pPr>
              <w:jc w:val="center"/>
              <w:rPr>
                <w:rFonts w:ascii="仿宋" w:eastAsia="仿宋" w:hAnsi="仿宋"/>
                <w:sz w:val="28"/>
                <w:szCs w:val="28"/>
              </w:rPr>
            </w:pPr>
            <w:r>
              <w:rPr>
                <w:rFonts w:ascii="仿宋" w:eastAsia="仿宋" w:hAnsi="仿宋"/>
                <w:sz w:val="28"/>
                <w:szCs w:val="28"/>
              </w:rPr>
              <w:t>3</w:t>
            </w:r>
          </w:p>
        </w:tc>
        <w:tc>
          <w:tcPr>
            <w:tcW w:w="6520"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杭州市安全生产监督管理局关于印发《杭州市安全生产行政处罚裁量基准（试行）》的通知</w:t>
            </w:r>
          </w:p>
        </w:tc>
        <w:tc>
          <w:tcPr>
            <w:tcW w:w="3402"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杭安监管法规〔</w:t>
            </w:r>
            <w:r>
              <w:rPr>
                <w:rFonts w:ascii="仿宋" w:eastAsia="仿宋" w:hAnsi="仿宋" w:hint="eastAsia"/>
                <w:sz w:val="28"/>
                <w:szCs w:val="28"/>
              </w:rPr>
              <w:t>201</w:t>
            </w: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hint="eastAsia"/>
                <w:sz w:val="28"/>
                <w:szCs w:val="28"/>
              </w:rPr>
              <w:t>113</w:t>
            </w:r>
            <w:r>
              <w:rPr>
                <w:rFonts w:ascii="仿宋" w:eastAsia="仿宋" w:hAnsi="仿宋" w:hint="eastAsia"/>
                <w:sz w:val="28"/>
                <w:szCs w:val="28"/>
              </w:rPr>
              <w:t>号</w:t>
            </w:r>
          </w:p>
        </w:tc>
        <w:tc>
          <w:tcPr>
            <w:tcW w:w="3119"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w:t>
            </w:r>
          </w:p>
        </w:tc>
      </w:tr>
      <w:tr w:rsidR="00000000">
        <w:tc>
          <w:tcPr>
            <w:tcW w:w="959" w:type="dxa"/>
            <w:vAlign w:val="center"/>
          </w:tcPr>
          <w:p w:rsidR="00000000" w:rsidRDefault="00C44636">
            <w:pPr>
              <w:jc w:val="center"/>
              <w:rPr>
                <w:rFonts w:ascii="仿宋" w:eastAsia="仿宋" w:hAnsi="仿宋"/>
                <w:sz w:val="28"/>
                <w:szCs w:val="28"/>
              </w:rPr>
            </w:pPr>
            <w:r>
              <w:rPr>
                <w:rFonts w:ascii="仿宋" w:eastAsia="仿宋" w:hAnsi="仿宋"/>
                <w:sz w:val="28"/>
                <w:szCs w:val="28"/>
              </w:rPr>
              <w:t>4</w:t>
            </w:r>
          </w:p>
        </w:tc>
        <w:tc>
          <w:tcPr>
            <w:tcW w:w="6520"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杭州市安全生产监督管理局关于印发</w:t>
            </w:r>
            <w:hyperlink r:id="rId6" w:history="1">
              <w:r>
                <w:rPr>
                  <w:rFonts w:ascii="仿宋" w:eastAsia="仿宋" w:hAnsi="仿宋" w:hint="eastAsia"/>
                  <w:sz w:val="28"/>
                  <w:szCs w:val="28"/>
                </w:rPr>
                <w:t>《杭州市工矿商贸行业领域安全生产举报奖励实施办法</w:t>
              </w:r>
            </w:hyperlink>
            <w:r>
              <w:rPr>
                <w:rFonts w:ascii="仿宋" w:eastAsia="仿宋" w:hAnsi="仿宋" w:hint="eastAsia"/>
                <w:sz w:val="28"/>
                <w:szCs w:val="28"/>
              </w:rPr>
              <w:t>》的通知</w:t>
            </w:r>
          </w:p>
        </w:tc>
        <w:tc>
          <w:tcPr>
            <w:tcW w:w="3402" w:type="dxa"/>
            <w:vAlign w:val="center"/>
          </w:tcPr>
          <w:p w:rsidR="00000000" w:rsidRDefault="00C44636">
            <w:pPr>
              <w:jc w:val="left"/>
              <w:rPr>
                <w:rFonts w:ascii="仿宋" w:eastAsia="仿宋" w:hAnsi="仿宋"/>
                <w:sz w:val="28"/>
                <w:szCs w:val="28"/>
              </w:rPr>
            </w:pPr>
            <w:r>
              <w:rPr>
                <w:rFonts w:ascii="仿宋" w:eastAsia="仿宋" w:hAnsi="仿宋" w:hint="eastAsia"/>
                <w:sz w:val="28"/>
                <w:szCs w:val="28"/>
              </w:rPr>
              <w:t>杭安监管办﹝</w:t>
            </w:r>
            <w:r>
              <w:rPr>
                <w:rFonts w:ascii="仿宋" w:eastAsia="仿宋" w:hAnsi="仿宋" w:hint="eastAsia"/>
                <w:sz w:val="28"/>
                <w:szCs w:val="28"/>
              </w:rPr>
              <w:t>2016</w:t>
            </w:r>
            <w:r>
              <w:rPr>
                <w:rFonts w:ascii="仿宋" w:eastAsia="仿宋" w:hAnsi="仿宋" w:hint="eastAsia"/>
                <w:sz w:val="28"/>
                <w:szCs w:val="28"/>
              </w:rPr>
              <w:t>﹞</w:t>
            </w:r>
            <w:r>
              <w:rPr>
                <w:rFonts w:ascii="仿宋" w:eastAsia="仿宋" w:hAnsi="仿宋" w:hint="eastAsia"/>
                <w:sz w:val="28"/>
                <w:szCs w:val="28"/>
              </w:rPr>
              <w:t>51</w:t>
            </w:r>
            <w:r>
              <w:rPr>
                <w:rFonts w:ascii="仿宋" w:eastAsia="仿宋" w:hAnsi="仿宋" w:hint="eastAsia"/>
                <w:sz w:val="28"/>
                <w:szCs w:val="28"/>
              </w:rPr>
              <w:t>号</w:t>
            </w:r>
          </w:p>
        </w:tc>
        <w:tc>
          <w:tcPr>
            <w:tcW w:w="3119" w:type="dxa"/>
            <w:vAlign w:val="center"/>
          </w:tcPr>
          <w:p w:rsidR="00000000" w:rsidRDefault="00C44636">
            <w:pPr>
              <w:jc w:val="center"/>
              <w:rPr>
                <w:rFonts w:ascii="仿宋" w:eastAsia="仿宋" w:hAnsi="仿宋"/>
                <w:sz w:val="28"/>
                <w:szCs w:val="28"/>
              </w:rPr>
            </w:pPr>
            <w:r>
              <w:rPr>
                <w:rFonts w:ascii="仿宋" w:eastAsia="仿宋" w:hAnsi="仿宋" w:hint="eastAsia"/>
                <w:sz w:val="28"/>
                <w:szCs w:val="28"/>
              </w:rPr>
              <w:t>ZJAC34-2016-0001</w:t>
            </w:r>
          </w:p>
        </w:tc>
      </w:tr>
      <w:bookmarkEnd w:id="1"/>
    </w:tbl>
    <w:p w:rsidR="00000000" w:rsidRDefault="00C44636">
      <w:pPr>
        <w:rPr>
          <w:rFonts w:hint="eastAsia"/>
          <w:sz w:val="32"/>
          <w:szCs w:val="32"/>
        </w:rPr>
        <w:sectPr w:rsidR="00000000">
          <w:headerReference w:type="even" r:id="rId7"/>
          <w:headerReference w:type="default" r:id="rId8"/>
          <w:footerReference w:type="even" r:id="rId9"/>
          <w:footerReference w:type="default" r:id="rId10"/>
          <w:pgSz w:w="16838" w:h="11906" w:orient="landscape"/>
          <w:pgMar w:top="1587" w:right="1440" w:bottom="1587" w:left="1440" w:header="851" w:footer="992" w:gutter="0"/>
          <w:cols w:space="720"/>
          <w:docGrid w:type="lines" w:linePitch="323"/>
        </w:sectPr>
      </w:pPr>
    </w:p>
    <w:bookmarkEnd w:id="0"/>
    <w:p w:rsidR="00C44636" w:rsidRDefault="00C44636" w:rsidP="00CC1BF3">
      <w:pPr>
        <w:pBdr>
          <w:top w:val="single" w:sz="4" w:space="0" w:color="auto"/>
          <w:bottom w:val="single" w:sz="4" w:space="1" w:color="auto"/>
        </w:pBdr>
        <w:tabs>
          <w:tab w:val="left" w:pos="7066"/>
        </w:tabs>
        <w:adjustRightInd w:val="0"/>
        <w:snapToGrid w:val="0"/>
      </w:pPr>
    </w:p>
    <w:sectPr w:rsidR="00C44636" w:rsidSect="00CC1BF3">
      <w:headerReference w:type="default" r:id="rId11"/>
      <w:pgSz w:w="16838" w:h="11906" w:orient="landscape"/>
      <w:pgMar w:top="1587" w:right="1440" w:bottom="1587" w:left="1440" w:header="851"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36" w:rsidRDefault="00C44636">
      <w:r>
        <w:separator/>
      </w:r>
    </w:p>
  </w:endnote>
  <w:endnote w:type="continuationSeparator" w:id="1">
    <w:p w:rsidR="00C44636" w:rsidRDefault="00C44636">
      <w:r>
        <w:continuationSeparator/>
      </w:r>
    </w:p>
  </w:endnote>
</w:endnotes>
</file>

<file path=word/fontTable.xml><?xml version="1.0" encoding="utf-8"?>
<w:fonts xmlns:r="http://schemas.openxmlformats.org/officeDocument/2006/relationships" xmlns:w="http://schemas.openxmlformats.org/wordprocessingml/2006/main">
  <w:font w:name="等线">
    <w:altName w:val="华文中宋"/>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636">
    <w:pPr>
      <w:pStyle w:val="a4"/>
      <w:framePr w:wrap="around" w:vAnchor="text" w:hAnchor="page" w:x="1786" w:y="209"/>
      <w:rPr>
        <w:rStyle w:val="a3"/>
        <w:rFonts w:ascii="宋体" w:eastAsia="宋体" w:hAnsi="宋体"/>
        <w:sz w:val="28"/>
        <w:szCs w:val="28"/>
      </w:rPr>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hint="eastAsia"/>
        <w:sz w:val="28"/>
        <w:szCs w:val="28"/>
      </w:rPr>
      <w:fldChar w:fldCharType="begin"/>
    </w:r>
    <w:r>
      <w:rPr>
        <w:rStyle w:val="a3"/>
        <w:rFonts w:ascii="宋体" w:eastAsia="宋体" w:hAnsi="宋体" w:hint="eastAsia"/>
        <w:sz w:val="28"/>
        <w:szCs w:val="28"/>
      </w:rPr>
      <w:instrText xml:space="preserve">PAGE  </w:instrText>
    </w:r>
    <w:r>
      <w:rPr>
        <w:rFonts w:ascii="宋体" w:eastAsia="宋体" w:hAnsi="宋体"/>
        <w:sz w:val="28"/>
        <w:szCs w:val="28"/>
      </w:rPr>
      <w:fldChar w:fldCharType="separate"/>
    </w:r>
    <w:r>
      <w:rPr>
        <w:rStyle w:val="a3"/>
        <w:rFonts w:ascii="宋体" w:eastAsia="宋体" w:hAnsi="宋体" w:hint="eastAsia"/>
        <w:sz w:val="28"/>
        <w:szCs w:val="28"/>
      </w:rPr>
      <w:t>1</w:t>
    </w:r>
    <w:r>
      <w:rPr>
        <w:rFonts w:ascii="宋体" w:eastAsia="宋体" w:hAnsi="宋体" w:hint="eastAsia"/>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p w:rsidR="00000000" w:rsidRDefault="00C446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636">
    <w:pPr>
      <w:pStyle w:val="a4"/>
      <w:jc w:val="right"/>
    </w:pPr>
  </w:p>
  <w:p w:rsidR="00000000" w:rsidRDefault="00C44636">
    <w:pPr>
      <w:pStyle w:val="a4"/>
      <w:framePr w:wrap="around" w:vAnchor="text" w:hAnchor="page" w:x="9121" w:y="164"/>
      <w:rPr>
        <w:rStyle w:val="a3"/>
        <w:rFonts w:ascii="宋体" w:eastAsia="宋体" w:hAnsi="宋体"/>
        <w:sz w:val="28"/>
        <w:szCs w:val="28"/>
      </w:rPr>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hint="eastAsia"/>
        <w:sz w:val="28"/>
        <w:szCs w:val="28"/>
      </w:rPr>
      <w:fldChar w:fldCharType="begin"/>
    </w:r>
    <w:r>
      <w:rPr>
        <w:rStyle w:val="a3"/>
        <w:rFonts w:ascii="宋体" w:eastAsia="宋体" w:hAnsi="宋体" w:hint="eastAsia"/>
        <w:sz w:val="28"/>
        <w:szCs w:val="28"/>
      </w:rPr>
      <w:instrText xml:space="preserve">PAGE  </w:instrText>
    </w:r>
    <w:r>
      <w:rPr>
        <w:rFonts w:ascii="宋体" w:eastAsia="宋体" w:hAnsi="宋体"/>
        <w:sz w:val="28"/>
        <w:szCs w:val="28"/>
      </w:rPr>
      <w:fldChar w:fldCharType="separate"/>
    </w:r>
    <w:r w:rsidR="00DB3386">
      <w:rPr>
        <w:rStyle w:val="a3"/>
        <w:rFonts w:ascii="宋体" w:eastAsia="宋体" w:hAnsi="宋体"/>
        <w:noProof/>
        <w:sz w:val="28"/>
        <w:szCs w:val="28"/>
      </w:rPr>
      <w:t>2</w:t>
    </w:r>
    <w:r>
      <w:rPr>
        <w:rFonts w:ascii="宋体" w:eastAsia="宋体" w:hAnsi="宋体" w:hint="eastAsia"/>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p w:rsidR="00000000" w:rsidRDefault="00C446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36" w:rsidRDefault="00C44636">
      <w:r>
        <w:separator/>
      </w:r>
    </w:p>
  </w:footnote>
  <w:footnote w:type="continuationSeparator" w:id="1">
    <w:p w:rsidR="00C44636" w:rsidRDefault="00C44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63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63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3" w:rsidRDefault="00CC1BF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323"/>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804"/>
    <w:rsid w:val="001F5F59"/>
    <w:rsid w:val="00245804"/>
    <w:rsid w:val="002F1E47"/>
    <w:rsid w:val="00383EED"/>
    <w:rsid w:val="003B3469"/>
    <w:rsid w:val="004B11A4"/>
    <w:rsid w:val="00782274"/>
    <w:rsid w:val="0083408A"/>
    <w:rsid w:val="0083427A"/>
    <w:rsid w:val="009E72F7"/>
    <w:rsid w:val="00B85E14"/>
    <w:rsid w:val="00BB01E8"/>
    <w:rsid w:val="00C44636"/>
    <w:rsid w:val="00CC1BF3"/>
    <w:rsid w:val="00D753A7"/>
    <w:rsid w:val="00DB3386"/>
    <w:rsid w:val="00DD54BF"/>
    <w:rsid w:val="00E45068"/>
    <w:rsid w:val="07902087"/>
    <w:rsid w:val="19F2202F"/>
    <w:rsid w:val="69682C5B"/>
    <w:rsid w:val="72FB33DE"/>
    <w:rsid w:val="74037F50"/>
    <w:rsid w:val="74543C63"/>
    <w:rsid w:val="DBBF6856"/>
    <w:rsid w:val="FFFCC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nhideWhenUsed/>
  </w:style>
  <w:style w:type="character" w:customStyle="1" w:styleId="Char">
    <w:name w:val="页脚 Char"/>
    <w:link w:val="a4"/>
    <w:rPr>
      <w:kern w:val="2"/>
      <w:sz w:val="18"/>
      <w:szCs w:val="18"/>
    </w:rPr>
  </w:style>
  <w:style w:type="character" w:customStyle="1" w:styleId="Char0">
    <w:name w:val="页眉 Char"/>
    <w:link w:val="a5"/>
    <w:uiPriority w:val="99"/>
    <w:rPr>
      <w:kern w:val="2"/>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0.191.209.146:9002/(F(hV4JKRg6XpA-M0_t1tKXi03b-oIOYt-biJvom7by7LG8hK1cWeDUCZf3AYYvNTieZY5rI1MqRK7rHMyK2R3t3_0pIwZTOLbzu6FWv5qNACU1))/Module/FileUpLoad/LegalFile_View.aspx?id=4c6af337-51d8-4436-9ec3-f9faf3ec61aa&amp;type=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742</Characters>
  <Application>Microsoft Office Word</Application>
  <DocSecurity>0</DocSecurity>
  <Lines>6</Lines>
  <Paragraphs>1</Paragraphs>
  <ScaleCrop>false</ScaleCrop>
  <Company>Lenovo</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ZJAC70-2020-0002</dc:title>
  <dc:creator>王 令锋</dc:creator>
  <cp:lastModifiedBy>lenovo</cp:lastModifiedBy>
  <cp:revision>2</cp:revision>
  <dcterms:created xsi:type="dcterms:W3CDTF">2020-12-29T06:25:00Z</dcterms:created>
  <dcterms:modified xsi:type="dcterms:W3CDTF">2020-12-29T06:25:00Z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