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740AB" w:rsidRDefault="00E91EB9" w:rsidP="00F740AB">
      <w:pPr>
        <w:topLinePunct/>
        <w:spacing w:line="360" w:lineRule="auto"/>
        <w:rPr>
          <w:rFonts w:ascii="仿宋_GB2312" w:eastAsia="仿宋_GB2312" w:hint="eastAsia"/>
          <w:sz w:val="32"/>
          <w:szCs w:val="32"/>
        </w:rPr>
      </w:pPr>
      <w:r>
        <w:rPr>
          <w:rFonts w:ascii="仿宋_GB2312" w:eastAsia="仿宋_GB2312" w:hint="eastAsia"/>
          <w:sz w:val="32"/>
          <w:szCs w:val="32"/>
        </w:rPr>
        <w:t>附件</w:t>
      </w:r>
    </w:p>
    <w:p w:rsidR="00000000" w:rsidRDefault="00E91EB9">
      <w:pPr>
        <w:topLinePunct/>
        <w:spacing w:line="360" w:lineRule="auto"/>
        <w:jc w:val="center"/>
        <w:rPr>
          <w:rFonts w:ascii="仿宋_GB2312" w:eastAsia="仿宋_GB2312" w:hAnsi="仿宋_GB2312" w:hint="eastAsia"/>
          <w:sz w:val="30"/>
          <w:szCs w:val="30"/>
        </w:rPr>
      </w:pPr>
      <w:r>
        <w:rPr>
          <w:rFonts w:eastAsia="黑体" w:hint="eastAsia"/>
          <w:sz w:val="36"/>
          <w:szCs w:val="36"/>
        </w:rPr>
        <w:t>杭州市交通运输局及所属单位行政规范性文件清理结果</w:t>
      </w:r>
    </w:p>
    <w:p w:rsidR="00000000" w:rsidRDefault="00E91EB9">
      <w:pPr>
        <w:topLinePunct/>
        <w:spacing w:line="360" w:lineRule="auto"/>
        <w:ind w:firstLineChars="213" w:firstLine="639"/>
        <w:rPr>
          <w:rFonts w:ascii="黑体" w:eastAsia="黑体" w:hAnsi="黑体" w:cs="黑体" w:hint="eastAsia"/>
          <w:sz w:val="30"/>
          <w:szCs w:val="30"/>
        </w:rPr>
      </w:pPr>
    </w:p>
    <w:p w:rsidR="00000000" w:rsidRDefault="00E91EB9">
      <w:pPr>
        <w:topLinePunct/>
        <w:spacing w:line="360" w:lineRule="auto"/>
        <w:ind w:firstLineChars="213" w:firstLine="639"/>
        <w:rPr>
          <w:rFonts w:ascii="黑体" w:eastAsia="黑体" w:hAnsi="黑体" w:cs="黑体" w:hint="eastAsia"/>
          <w:sz w:val="30"/>
          <w:szCs w:val="30"/>
        </w:rPr>
      </w:pPr>
      <w:r>
        <w:rPr>
          <w:rFonts w:ascii="黑体" w:eastAsia="黑体" w:hAnsi="黑体" w:cs="黑体" w:hint="eastAsia"/>
          <w:sz w:val="30"/>
          <w:szCs w:val="30"/>
        </w:rPr>
        <w:t>一、继续有效的行政规范性文件共</w:t>
      </w:r>
      <w:r>
        <w:rPr>
          <w:rFonts w:ascii="黑体" w:eastAsia="黑体" w:hAnsi="黑体" w:cs="黑体" w:hint="eastAsia"/>
          <w:sz w:val="30"/>
          <w:szCs w:val="30"/>
        </w:rPr>
        <w:t>38</w:t>
      </w:r>
      <w:r>
        <w:rPr>
          <w:rFonts w:ascii="黑体" w:eastAsia="黑体" w:hAnsi="黑体" w:cs="黑体" w:hint="eastAsia"/>
          <w:sz w:val="30"/>
          <w:szCs w:val="30"/>
        </w:rPr>
        <w:t>件，目录如下：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8"/>
        <w:gridCol w:w="2319"/>
        <w:gridCol w:w="6159"/>
      </w:tblGrid>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序号</w:t>
            </w:r>
          </w:p>
        </w:tc>
        <w:tc>
          <w:tcPr>
            <w:tcW w:w="2319"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sz w:val="24"/>
              </w:rPr>
            </w:pPr>
            <w:r>
              <w:rPr>
                <w:rFonts w:ascii="仿宋_GB2312" w:hint="eastAsia"/>
                <w:sz w:val="24"/>
              </w:rPr>
              <w:t>文号</w:t>
            </w:r>
          </w:p>
        </w:tc>
        <w:tc>
          <w:tcPr>
            <w:tcW w:w="6159"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sz w:val="24"/>
              </w:rPr>
            </w:pPr>
            <w:r>
              <w:rPr>
                <w:rFonts w:ascii="仿宋_GB2312" w:hint="eastAsia"/>
                <w:sz w:val="24"/>
              </w:rPr>
              <w:t>文件名称</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w:t>
            </w:r>
          </w:p>
        </w:tc>
        <w:tc>
          <w:tcPr>
            <w:tcW w:w="231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2020</w:t>
            </w:r>
            <w:r>
              <w:rPr>
                <w:rFonts w:hint="eastAsia"/>
              </w:rPr>
              <w:t>〕</w:t>
            </w:r>
            <w:r>
              <w:rPr>
                <w:rFonts w:hint="eastAsia"/>
              </w:rPr>
              <w:t>9</w:t>
            </w:r>
            <w:r>
              <w:rPr>
                <w:rFonts w:hint="eastAsia"/>
              </w:rPr>
              <w:t>1</w:t>
            </w:r>
            <w:r>
              <w:rPr>
                <w:rFonts w:hint="eastAsia"/>
              </w:rPr>
              <w:t>号</w:t>
            </w:r>
          </w:p>
        </w:tc>
        <w:tc>
          <w:tcPr>
            <w:tcW w:w="615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关于印发《杭州市综合交通枢纽安全管理办法》的通知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2</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2019</w:t>
            </w:r>
            <w:r>
              <w:rPr>
                <w:rFonts w:hint="eastAsia"/>
              </w:rPr>
              <w:t>〕</w:t>
            </w:r>
            <w:r>
              <w:rPr>
                <w:rFonts w:hint="eastAsia"/>
              </w:rPr>
              <w:t>106</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关于开展公路水运工程扬尘在线监测设施安装工作的通知</w:t>
            </w:r>
            <w:r>
              <w:rPr>
                <w:rFonts w:hint="eastAsia"/>
              </w:rPr>
              <w:t xml:space="preserve"> </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3</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2018</w:t>
            </w:r>
            <w:r>
              <w:rPr>
                <w:rFonts w:hint="eastAsia"/>
              </w:rPr>
              <w:t>〕</w:t>
            </w:r>
            <w:r>
              <w:rPr>
                <w:rFonts w:hint="eastAsia"/>
              </w:rPr>
              <w:t>142</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关于印发《关于台湾同胞同等享受杭州市居民乘坐公共交通优惠政策的实施意见》的通知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4</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2018</w:t>
            </w:r>
            <w:r>
              <w:rPr>
                <w:rFonts w:hint="eastAsia"/>
              </w:rPr>
              <w:t>〕</w:t>
            </w:r>
            <w:r>
              <w:rPr>
                <w:rFonts w:hint="eastAsia"/>
              </w:rPr>
              <w:t>104</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关于印发《杭州市小客</w:t>
            </w:r>
            <w:r w:rsidR="00F740AB">
              <w:rPr>
                <w:rFonts w:hint="eastAsia"/>
              </w:rPr>
              <w:t>车总量调控以阶梯摇号方式向久摇不中个人配置小客车指标实施办法》</w:t>
            </w:r>
            <w:r>
              <w:rPr>
                <w:rFonts w:hint="eastAsia"/>
              </w:rPr>
              <w:t>《杭州市小客车总量调控个人竞价指标数量动态调节机制实施办法》的通知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5</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2018</w:t>
            </w:r>
            <w:r>
              <w:rPr>
                <w:rFonts w:hint="eastAsia"/>
              </w:rPr>
              <w:t>〕</w:t>
            </w:r>
            <w:r>
              <w:rPr>
                <w:rFonts w:hint="eastAsia"/>
              </w:rPr>
              <w:t>20</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关于印发《关于杭州市持证残疾人免费乘</w:t>
            </w:r>
            <w:r>
              <w:rPr>
                <w:rFonts w:hint="eastAsia"/>
              </w:rPr>
              <w:t>坐市内公共交通工具的实施方案》的通知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6</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2017</w:t>
            </w:r>
            <w:r>
              <w:rPr>
                <w:rFonts w:hint="eastAsia"/>
              </w:rPr>
              <w:t>〕</w:t>
            </w:r>
            <w:r>
              <w:rPr>
                <w:rFonts w:hint="eastAsia"/>
              </w:rPr>
              <w:t>26</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关于印发《杭州市二手小客车交易周转指标管理办法》的通知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7</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2013</w:t>
            </w:r>
            <w:r>
              <w:rPr>
                <w:rFonts w:hint="eastAsia"/>
              </w:rPr>
              <w:t>〕</w:t>
            </w:r>
            <w:r>
              <w:rPr>
                <w:rFonts w:hint="eastAsia"/>
              </w:rPr>
              <w:t>154</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关于印发《杭州市交通重点建设工程检查考核实施办法》的通知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8</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2012</w:t>
            </w:r>
            <w:r>
              <w:rPr>
                <w:rFonts w:hint="eastAsia"/>
              </w:rPr>
              <w:t>〕</w:t>
            </w:r>
            <w:r>
              <w:rPr>
                <w:rFonts w:hint="eastAsia"/>
              </w:rPr>
              <w:t>94</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关于印发《杭州市公路桥梁养护与管理实施细则（试行）》的通知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9</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2012</w:t>
            </w:r>
            <w:r>
              <w:rPr>
                <w:rFonts w:hint="eastAsia"/>
              </w:rPr>
              <w:t>〕</w:t>
            </w:r>
            <w:r>
              <w:rPr>
                <w:rFonts w:hint="eastAsia"/>
              </w:rPr>
              <w:t>96</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关于印发《杭州市公路隧道养护与管理实施细则（试行）》的通知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10</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2011</w:t>
            </w:r>
            <w:r>
              <w:rPr>
                <w:rFonts w:hint="eastAsia"/>
              </w:rPr>
              <w:t>〕</w:t>
            </w:r>
            <w:r>
              <w:rPr>
                <w:rFonts w:hint="eastAsia"/>
              </w:rPr>
              <w:t>107</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关于印发《杭州市公路水运工程试验检测管理实施细则》的通知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11</w:t>
            </w:r>
          </w:p>
        </w:tc>
        <w:tc>
          <w:tcPr>
            <w:tcW w:w="231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杭交发〔</w:t>
            </w:r>
            <w:r>
              <w:rPr>
                <w:rFonts w:hint="eastAsia"/>
              </w:rPr>
              <w:t>2009</w:t>
            </w:r>
            <w:r>
              <w:rPr>
                <w:rFonts w:hint="eastAsia"/>
              </w:rPr>
              <w:t>〕</w:t>
            </w:r>
            <w:r>
              <w:rPr>
                <w:rFonts w:hint="eastAsia"/>
              </w:rPr>
              <w:t>232</w:t>
            </w:r>
            <w:r>
              <w:rPr>
                <w:rFonts w:hint="eastAsia"/>
              </w:rPr>
              <w:t>号</w:t>
            </w:r>
          </w:p>
        </w:tc>
        <w:tc>
          <w:tcPr>
            <w:tcW w:w="615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关于印发《杭州市客运出租汽车安装使用市民卡（交通卡）刷卡系统的规定》的通知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12</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2009</w:t>
            </w:r>
            <w:r>
              <w:rPr>
                <w:rFonts w:hint="eastAsia"/>
              </w:rPr>
              <w:t>〕</w:t>
            </w:r>
            <w:r>
              <w:rPr>
                <w:rFonts w:hint="eastAsia"/>
              </w:rPr>
              <w:t>138</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关于城市快运车辆车型基本要求的通知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13</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2009</w:t>
            </w:r>
            <w:r>
              <w:rPr>
                <w:rFonts w:hint="eastAsia"/>
              </w:rPr>
              <w:t>〕</w:t>
            </w:r>
            <w:r>
              <w:rPr>
                <w:rFonts w:hint="eastAsia"/>
              </w:rPr>
              <w:t>120</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关于印发《杭州市公路水运工程造价管理办法》的通知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14</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2007</w:t>
            </w:r>
            <w:r>
              <w:rPr>
                <w:rFonts w:hint="eastAsia"/>
              </w:rPr>
              <w:t>〕</w:t>
            </w:r>
            <w:r>
              <w:rPr>
                <w:rFonts w:hint="eastAsia"/>
              </w:rPr>
              <w:t>231</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关于印发《杭州市机动车驾驶员陪驾服务管理办法》的通知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15</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2007</w:t>
            </w:r>
            <w:r>
              <w:rPr>
                <w:rFonts w:hint="eastAsia"/>
              </w:rPr>
              <w:t>〕</w:t>
            </w:r>
            <w:r>
              <w:rPr>
                <w:rFonts w:hint="eastAsia"/>
              </w:rPr>
              <w:t>25</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关于印发《杭州市机动车驾驶培训教员累积记分制度》的通知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16</w:t>
            </w:r>
          </w:p>
        </w:tc>
        <w:tc>
          <w:tcPr>
            <w:tcW w:w="2319" w:type="dxa"/>
            <w:tcBorders>
              <w:top w:val="single" w:sz="4" w:space="0" w:color="auto"/>
              <w:left w:val="single" w:sz="4" w:space="0" w:color="auto"/>
              <w:bottom w:val="single" w:sz="4" w:space="0" w:color="auto"/>
              <w:right w:val="single" w:sz="4" w:space="0" w:color="auto"/>
            </w:tcBorders>
            <w:vAlign w:val="center"/>
          </w:tcPr>
          <w:p w:rsidR="00000000" w:rsidRDefault="00E91EB9">
            <w:r>
              <w:rPr>
                <w:rFonts w:hint="eastAsia"/>
              </w:rPr>
              <w:t>杭交发〔</w:t>
            </w:r>
            <w:r>
              <w:rPr>
                <w:rFonts w:hint="eastAsia"/>
              </w:rPr>
              <w:t>2006</w:t>
            </w:r>
            <w:r>
              <w:rPr>
                <w:rFonts w:hint="eastAsia"/>
              </w:rPr>
              <w:t>〕</w:t>
            </w:r>
            <w:r>
              <w:rPr>
                <w:rFonts w:hint="eastAsia"/>
              </w:rPr>
              <w:t>81</w:t>
            </w:r>
            <w:r>
              <w:rPr>
                <w:rFonts w:hint="eastAsia"/>
              </w:rPr>
              <w:t>号</w:t>
            </w:r>
          </w:p>
        </w:tc>
        <w:tc>
          <w:tcPr>
            <w:tcW w:w="6159" w:type="dxa"/>
            <w:tcBorders>
              <w:top w:val="single" w:sz="4" w:space="0" w:color="auto"/>
              <w:left w:val="single" w:sz="4" w:space="0" w:color="auto"/>
              <w:bottom w:val="single" w:sz="4" w:space="0" w:color="auto"/>
              <w:right w:val="single" w:sz="4" w:space="0" w:color="auto"/>
            </w:tcBorders>
            <w:vAlign w:val="center"/>
          </w:tcPr>
          <w:p w:rsidR="00000000" w:rsidRDefault="00E91EB9">
            <w:r>
              <w:rPr>
                <w:rFonts w:hint="eastAsia"/>
              </w:rPr>
              <w:t>关于实施客运出租汽车交接班时段同向载客制度的</w:t>
            </w:r>
            <w:r>
              <w:rPr>
                <w:rFonts w:hint="eastAsia"/>
              </w:rPr>
              <w:t>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lastRenderedPageBreak/>
              <w:t>17</w:t>
            </w:r>
          </w:p>
        </w:tc>
        <w:tc>
          <w:tcPr>
            <w:tcW w:w="231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杭港航管〔</w:t>
            </w:r>
            <w:r>
              <w:rPr>
                <w:rFonts w:hint="eastAsia"/>
              </w:rPr>
              <w:t>2013</w:t>
            </w:r>
            <w:r>
              <w:rPr>
                <w:rFonts w:hint="eastAsia"/>
              </w:rPr>
              <w:t>〕</w:t>
            </w:r>
            <w:r>
              <w:rPr>
                <w:rFonts w:hint="eastAsia"/>
              </w:rPr>
              <w:t>12</w:t>
            </w:r>
            <w:r>
              <w:rPr>
                <w:rFonts w:hint="eastAsia"/>
              </w:rPr>
              <w:t>号</w:t>
            </w:r>
          </w:p>
        </w:tc>
        <w:tc>
          <w:tcPr>
            <w:tcW w:w="615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关于印发《杭州港老码头可行性与技术检测评估管理办法》的通知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18</w:t>
            </w:r>
          </w:p>
        </w:tc>
        <w:tc>
          <w:tcPr>
            <w:tcW w:w="231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杭港航管〔</w:t>
            </w:r>
            <w:r>
              <w:rPr>
                <w:rFonts w:hint="eastAsia"/>
              </w:rPr>
              <w:t>2014</w:t>
            </w:r>
            <w:r>
              <w:rPr>
                <w:rFonts w:hint="eastAsia"/>
              </w:rPr>
              <w:t>〕</w:t>
            </w:r>
            <w:r>
              <w:rPr>
                <w:rFonts w:hint="eastAsia"/>
              </w:rPr>
              <w:t>146</w:t>
            </w:r>
            <w:r>
              <w:rPr>
                <w:rFonts w:hint="eastAsia"/>
              </w:rPr>
              <w:t>号</w:t>
            </w:r>
          </w:p>
        </w:tc>
        <w:tc>
          <w:tcPr>
            <w:tcW w:w="615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关于印发《杭州航区诚信管理办法》的通知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19</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杭港航管〔</w:t>
            </w:r>
            <w:r>
              <w:rPr>
                <w:rFonts w:hint="eastAsia"/>
              </w:rPr>
              <w:t>2012</w:t>
            </w:r>
            <w:r>
              <w:rPr>
                <w:rFonts w:hint="eastAsia"/>
              </w:rPr>
              <w:t>〕</w:t>
            </w:r>
            <w:r>
              <w:rPr>
                <w:rFonts w:hint="eastAsia"/>
              </w:rPr>
              <w:t>163</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关于印发《杭州市三堡船闸运行调度管理办法》的通知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20</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杭港航管〔</w:t>
            </w:r>
            <w:r>
              <w:rPr>
                <w:rFonts w:hint="eastAsia"/>
              </w:rPr>
              <w:t>2016</w:t>
            </w:r>
            <w:r>
              <w:rPr>
                <w:rFonts w:hint="eastAsia"/>
              </w:rPr>
              <w:t>〕</w:t>
            </w:r>
            <w:r>
              <w:rPr>
                <w:rFonts w:hint="eastAsia"/>
              </w:rPr>
              <w:t>180</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关于印发《杭州航区行政处罚裁量参照标准》的通知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21</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杭公路〔</w:t>
            </w:r>
            <w:r>
              <w:rPr>
                <w:rFonts w:hint="eastAsia"/>
              </w:rPr>
              <w:t>2018</w:t>
            </w:r>
            <w:r>
              <w:rPr>
                <w:rFonts w:hint="eastAsia"/>
              </w:rPr>
              <w:t>〕</w:t>
            </w:r>
            <w:r>
              <w:rPr>
                <w:rFonts w:hint="eastAsia"/>
              </w:rPr>
              <w:t>216</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关于简化办理路政许可有关事项的通知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22</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杭客管〔</w:t>
            </w:r>
            <w:r>
              <w:rPr>
                <w:rFonts w:hint="eastAsia"/>
              </w:rPr>
              <w:t>2007</w:t>
            </w:r>
            <w:r>
              <w:rPr>
                <w:rFonts w:hint="eastAsia"/>
              </w:rPr>
              <w:t>〕</w:t>
            </w:r>
            <w:r>
              <w:rPr>
                <w:rFonts w:hint="eastAsia"/>
              </w:rPr>
              <w:t>12</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关于试行杭州市客运出租汽车“暂停服务”标志的通知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23</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杭客管〔</w:t>
            </w:r>
            <w:r>
              <w:rPr>
                <w:rFonts w:hint="eastAsia"/>
              </w:rPr>
              <w:t>2007</w:t>
            </w:r>
            <w:r>
              <w:rPr>
                <w:rFonts w:hint="eastAsia"/>
              </w:rPr>
              <w:t>〕</w:t>
            </w:r>
            <w:r>
              <w:rPr>
                <w:rFonts w:hint="eastAsia"/>
              </w:rPr>
              <w:t>23</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关于规范客运出租汽车营运标志的通知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24</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杭客管〔</w:t>
            </w:r>
            <w:r>
              <w:rPr>
                <w:rFonts w:hint="eastAsia"/>
              </w:rPr>
              <w:t>2008</w:t>
            </w:r>
            <w:r>
              <w:rPr>
                <w:rFonts w:hint="eastAsia"/>
              </w:rPr>
              <w:t>〕</w:t>
            </w:r>
            <w:r>
              <w:rPr>
                <w:rFonts w:hint="eastAsia"/>
              </w:rPr>
              <w:t>7</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关于切实做好无障碍出租汽车营运管理工作的通知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25</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杭客管〔</w:t>
            </w:r>
            <w:r>
              <w:rPr>
                <w:rFonts w:hint="eastAsia"/>
              </w:rPr>
              <w:t>2008</w:t>
            </w:r>
            <w:r>
              <w:rPr>
                <w:rFonts w:hint="eastAsia"/>
              </w:rPr>
              <w:t>〕</w:t>
            </w:r>
            <w:r>
              <w:rPr>
                <w:rFonts w:hint="eastAsia"/>
              </w:rPr>
              <w:t xml:space="preserve">26 </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rsidP="00F740AB">
            <w:pPr>
              <w:rPr>
                <w:rFonts w:hint="eastAsia"/>
              </w:rPr>
            </w:pPr>
            <w:r>
              <w:rPr>
                <w:rFonts w:hint="eastAsia"/>
              </w:rPr>
              <w:t>关于公布《杭州市市区客运出租汽车车辆技术标准</w:t>
            </w:r>
            <w:r>
              <w:rPr>
                <w:rFonts w:hint="eastAsia"/>
              </w:rPr>
              <w:t>》</w:t>
            </w:r>
            <w:r w:rsidR="00F740AB">
              <w:rPr>
                <w:rFonts w:hint="eastAsia"/>
              </w:rPr>
              <w:t>的</w:t>
            </w:r>
            <w:r>
              <w:rPr>
                <w:rFonts w:hint="eastAsia"/>
              </w:rPr>
              <w:t>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26</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杭运管〔</w:t>
            </w:r>
            <w:r>
              <w:rPr>
                <w:rFonts w:hint="eastAsia"/>
              </w:rPr>
              <w:t>2009</w:t>
            </w:r>
            <w:r>
              <w:rPr>
                <w:rFonts w:hint="eastAsia"/>
              </w:rPr>
              <w:t>〕</w:t>
            </w:r>
            <w:r>
              <w:rPr>
                <w:rFonts w:hint="eastAsia"/>
              </w:rPr>
              <w:t>90</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关于印发《杭州市道路旅客运输站场管理办法》等三个文件的通知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27</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杭运管〔</w:t>
            </w:r>
            <w:r>
              <w:rPr>
                <w:rFonts w:hint="eastAsia"/>
              </w:rPr>
              <w:t>2009</w:t>
            </w:r>
            <w:r>
              <w:rPr>
                <w:rFonts w:hint="eastAsia"/>
              </w:rPr>
              <w:t>〕</w:t>
            </w:r>
            <w:r>
              <w:rPr>
                <w:rFonts w:hint="eastAsia"/>
              </w:rPr>
              <w:t>181</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关于启用《省内营运客车加班证明》的通知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28</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w:t>
            </w:r>
            <w:r>
              <w:rPr>
                <w:rFonts w:hint="eastAsia"/>
              </w:rPr>
              <w:t>2018</w:t>
            </w:r>
            <w:r>
              <w:rPr>
                <w:rFonts w:hint="eastAsia"/>
              </w:rPr>
              <w:t>〕</w:t>
            </w:r>
            <w:r>
              <w:rPr>
                <w:rFonts w:hint="eastAsia"/>
              </w:rPr>
              <w:t>100</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w:t>
            </w:r>
            <w:r>
              <w:rPr>
                <w:rFonts w:hint="eastAsia"/>
              </w:rPr>
              <w:t>2018</w:t>
            </w:r>
            <w:r>
              <w:rPr>
                <w:rFonts w:hint="eastAsia"/>
              </w:rPr>
              <w:t>年道路客运运力结构优化调整实施方案》的通知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2</w:t>
            </w:r>
            <w:r>
              <w:rPr>
                <w:rFonts w:ascii="仿宋_GB2312" w:hint="eastAsia"/>
                <w:kern w:val="0"/>
                <w:sz w:val="24"/>
              </w:rPr>
              <w:t>9</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w:t>
            </w:r>
            <w:r>
              <w:rPr>
                <w:rFonts w:hint="eastAsia"/>
              </w:rPr>
              <w:t>2019</w:t>
            </w:r>
            <w:r>
              <w:rPr>
                <w:rFonts w:hint="eastAsia"/>
              </w:rPr>
              <w:t>〕</w:t>
            </w:r>
            <w:r>
              <w:rPr>
                <w:rFonts w:hint="eastAsia"/>
              </w:rPr>
              <w:t>57</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关于印发《杭州市本级客运出租汽车服务区服务质量考核办法》的通知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30</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w:t>
            </w:r>
            <w:r>
              <w:rPr>
                <w:rFonts w:hint="eastAsia"/>
              </w:rPr>
              <w:t>2019</w:t>
            </w:r>
            <w:r>
              <w:rPr>
                <w:rFonts w:hint="eastAsia"/>
              </w:rPr>
              <w:t>〕</w:t>
            </w:r>
            <w:r>
              <w:rPr>
                <w:rFonts w:hint="eastAsia"/>
              </w:rPr>
              <w:t>79</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关于印发《杭州市巡游出租汽车服务质量信誉考核办法》的通知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31</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杭驾管〔</w:t>
            </w:r>
            <w:r>
              <w:rPr>
                <w:rFonts w:hint="eastAsia"/>
              </w:rPr>
              <w:t>2004</w:t>
            </w:r>
            <w:r>
              <w:rPr>
                <w:rFonts w:hint="eastAsia"/>
              </w:rPr>
              <w:t>〕</w:t>
            </w:r>
            <w:r>
              <w:rPr>
                <w:rFonts w:hint="eastAsia"/>
              </w:rPr>
              <w:t>34</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关于印发《机动车驾驶员培训记录规程》（暂行）的通知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32</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2006</w:t>
            </w:r>
            <w:r>
              <w:rPr>
                <w:rFonts w:hint="eastAsia"/>
              </w:rPr>
              <w:t>〕</w:t>
            </w:r>
            <w:r>
              <w:rPr>
                <w:rFonts w:hint="eastAsia"/>
              </w:rPr>
              <w:t>22</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关于建立教练车辆过户、更新、停驶、复驶、注销等相关报备制度的通知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33</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2007</w:t>
            </w:r>
            <w:r>
              <w:rPr>
                <w:rFonts w:hint="eastAsia"/>
              </w:rPr>
              <w:t>〕</w:t>
            </w:r>
            <w:r>
              <w:rPr>
                <w:rFonts w:hint="eastAsia"/>
              </w:rPr>
              <w:t>24</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关于建立驾培机构外设招生站（点）、培训收费标准及教练员聘用备案制度的通知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34</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2007</w:t>
            </w:r>
            <w:r>
              <w:rPr>
                <w:rFonts w:hint="eastAsia"/>
              </w:rPr>
              <w:t>〕</w:t>
            </w:r>
            <w:r>
              <w:rPr>
                <w:rFonts w:hint="eastAsia"/>
              </w:rPr>
              <w:t>37</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w:t>
            </w:r>
            <w:r>
              <w:rPr>
                <w:rFonts w:hint="eastAsia"/>
              </w:rPr>
              <w:t>于印发《杭州市机动车驾培机构教练员教学质量信誉考核体系表》的通知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35</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2017</w:t>
            </w:r>
            <w:r>
              <w:rPr>
                <w:rFonts w:hint="eastAsia"/>
              </w:rPr>
              <w:t>〕</w:t>
            </w:r>
            <w:r>
              <w:rPr>
                <w:rFonts w:hint="eastAsia"/>
              </w:rPr>
              <w:t xml:space="preserve">45 </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关于印发《杭州市汽车租赁单位员工固定班车备案管理办法（试行）》的通知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36</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2012</w:t>
            </w:r>
            <w:r>
              <w:rPr>
                <w:rFonts w:hint="eastAsia"/>
              </w:rPr>
              <w:t>〕</w:t>
            </w:r>
            <w:r>
              <w:rPr>
                <w:rFonts w:hint="eastAsia"/>
              </w:rPr>
              <w:t>108</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关于印发《杭州市驾培行业安全生产标准化建设与分级监管实施办法》的通知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37</w:t>
            </w:r>
          </w:p>
        </w:tc>
        <w:tc>
          <w:tcPr>
            <w:tcW w:w="231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杭交监发〔</w:t>
            </w:r>
            <w:r>
              <w:rPr>
                <w:rFonts w:hint="eastAsia"/>
              </w:rPr>
              <w:t>2014</w:t>
            </w:r>
            <w:r>
              <w:rPr>
                <w:rFonts w:hint="eastAsia"/>
              </w:rPr>
              <w:t>〕</w:t>
            </w:r>
            <w:r>
              <w:rPr>
                <w:rFonts w:hint="eastAsia"/>
              </w:rPr>
              <w:t>7</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w:t>
            </w:r>
            <w:r>
              <w:t>印发</w:t>
            </w:r>
            <w:r>
              <w:rPr>
                <w:rFonts w:hint="eastAsia"/>
              </w:rPr>
              <w:t>《杭州市交通建设工程竣（交）工试验检测管理办法》的通知</w:t>
            </w:r>
          </w:p>
        </w:tc>
      </w:tr>
      <w:tr w:rsidR="00000000">
        <w:trPr>
          <w:trHeight w:val="567"/>
        </w:trPr>
        <w:tc>
          <w:tcPr>
            <w:tcW w:w="628" w:type="dxa"/>
            <w:tcBorders>
              <w:top w:val="single" w:sz="4" w:space="0" w:color="auto"/>
              <w:left w:val="single" w:sz="4" w:space="0" w:color="auto"/>
              <w:bottom w:val="single" w:sz="4" w:space="0" w:color="auto"/>
              <w:right w:val="single" w:sz="4" w:space="0" w:color="auto"/>
            </w:tcBorders>
            <w:vAlign w:val="bottom"/>
          </w:tcPr>
          <w:p w:rsidR="00000000" w:rsidRDefault="00E91EB9">
            <w:pPr>
              <w:widowControl/>
              <w:spacing w:line="360" w:lineRule="auto"/>
              <w:ind w:leftChars="-44" w:left="-92" w:rightChars="-51" w:right="-107"/>
              <w:jc w:val="center"/>
              <w:rPr>
                <w:rFonts w:ascii="仿宋_GB2312" w:hint="eastAsia"/>
                <w:kern w:val="0"/>
                <w:sz w:val="24"/>
              </w:rPr>
            </w:pPr>
            <w:r>
              <w:rPr>
                <w:rFonts w:ascii="仿宋_GB2312" w:hint="eastAsia"/>
                <w:kern w:val="0"/>
                <w:sz w:val="24"/>
              </w:rPr>
              <w:t>38</w:t>
            </w:r>
          </w:p>
        </w:tc>
        <w:tc>
          <w:tcPr>
            <w:tcW w:w="2319" w:type="dxa"/>
            <w:tcBorders>
              <w:top w:val="nil"/>
              <w:left w:val="single" w:sz="4" w:space="0" w:color="auto"/>
              <w:bottom w:val="single" w:sz="4" w:space="0" w:color="auto"/>
              <w:right w:val="single" w:sz="4" w:space="0" w:color="auto"/>
            </w:tcBorders>
            <w:vAlign w:val="center"/>
          </w:tcPr>
          <w:p w:rsidR="00000000" w:rsidRDefault="00E91EB9">
            <w:r>
              <w:rPr>
                <w:rFonts w:hint="eastAsia"/>
              </w:rPr>
              <w:t>杭交监发〔</w:t>
            </w:r>
            <w:r>
              <w:rPr>
                <w:rFonts w:hint="eastAsia"/>
              </w:rPr>
              <w:t>2018</w:t>
            </w:r>
            <w:r>
              <w:rPr>
                <w:rFonts w:hint="eastAsia"/>
              </w:rPr>
              <w:t>〕</w:t>
            </w:r>
            <w:r>
              <w:rPr>
                <w:rFonts w:hint="eastAsia"/>
              </w:rPr>
              <w:t>39</w:t>
            </w:r>
            <w:r>
              <w:rPr>
                <w:rFonts w:hint="eastAsia"/>
              </w:rPr>
              <w:t>号</w:t>
            </w:r>
          </w:p>
        </w:tc>
        <w:tc>
          <w:tcPr>
            <w:tcW w:w="6159" w:type="dxa"/>
            <w:tcBorders>
              <w:top w:val="nil"/>
              <w:left w:val="single" w:sz="4" w:space="0" w:color="auto"/>
              <w:bottom w:val="single" w:sz="4" w:space="0" w:color="auto"/>
              <w:right w:val="single" w:sz="4" w:space="0" w:color="auto"/>
            </w:tcBorders>
            <w:vAlign w:val="center"/>
          </w:tcPr>
          <w:p w:rsidR="00000000" w:rsidRDefault="00E91EB9">
            <w:r>
              <w:rPr>
                <w:rFonts w:hint="eastAsia"/>
              </w:rPr>
              <w:t>关于印发《杭州市公路水运工程施工人员安全教育培训管理规定》的通知</w:t>
            </w:r>
          </w:p>
        </w:tc>
      </w:tr>
    </w:tbl>
    <w:p w:rsidR="00000000" w:rsidRDefault="00E91EB9">
      <w:pPr>
        <w:topLinePunct/>
        <w:spacing w:line="360" w:lineRule="auto"/>
        <w:ind w:firstLineChars="200" w:firstLine="420"/>
        <w:rPr>
          <w:rFonts w:hAnsi="仿宋_GB2312"/>
          <w:szCs w:val="32"/>
        </w:rPr>
      </w:pPr>
    </w:p>
    <w:p w:rsidR="00000000" w:rsidRDefault="00E91EB9">
      <w:pPr>
        <w:topLinePunct/>
        <w:spacing w:line="360" w:lineRule="auto"/>
        <w:ind w:firstLineChars="200" w:firstLine="600"/>
        <w:rPr>
          <w:rFonts w:ascii="仿宋_GB2312" w:eastAsia="仿宋_GB2312" w:hAnsi="仿宋_GB2312"/>
          <w:sz w:val="30"/>
          <w:szCs w:val="30"/>
        </w:rPr>
      </w:pPr>
    </w:p>
    <w:p w:rsidR="00000000" w:rsidRDefault="00E91EB9">
      <w:pPr>
        <w:topLinePunct/>
        <w:spacing w:line="360" w:lineRule="auto"/>
        <w:ind w:firstLineChars="213" w:firstLine="639"/>
        <w:rPr>
          <w:rFonts w:ascii="黑体" w:eastAsia="黑体" w:hAnsi="黑体" w:cs="黑体" w:hint="eastAsia"/>
          <w:sz w:val="30"/>
          <w:szCs w:val="30"/>
        </w:rPr>
      </w:pPr>
      <w:r>
        <w:rPr>
          <w:rFonts w:ascii="黑体" w:eastAsia="黑体" w:hAnsi="黑体" w:cs="黑体" w:hint="eastAsia"/>
          <w:sz w:val="30"/>
          <w:szCs w:val="30"/>
        </w:rPr>
        <w:t>二、宣布废止的行政规范性文件</w:t>
      </w:r>
      <w:r>
        <w:rPr>
          <w:rFonts w:ascii="黑体" w:eastAsia="黑体" w:hAnsi="黑体" w:cs="黑体" w:hint="eastAsia"/>
          <w:sz w:val="30"/>
          <w:szCs w:val="30"/>
        </w:rPr>
        <w:t>共</w:t>
      </w:r>
      <w:r>
        <w:rPr>
          <w:rFonts w:ascii="黑体" w:eastAsia="黑体" w:hAnsi="黑体" w:cs="黑体" w:hint="eastAsia"/>
          <w:sz w:val="30"/>
          <w:szCs w:val="30"/>
        </w:rPr>
        <w:t>23</w:t>
      </w:r>
      <w:r>
        <w:rPr>
          <w:rFonts w:ascii="黑体" w:eastAsia="黑体" w:hAnsi="黑体" w:cs="黑体" w:hint="eastAsia"/>
          <w:sz w:val="30"/>
          <w:szCs w:val="30"/>
        </w:rPr>
        <w:t>件，具体目录如下：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2198"/>
        <w:gridCol w:w="5809"/>
      </w:tblGrid>
      <w:tr w:rsidR="00000000">
        <w:trPr>
          <w:trHeight w:val="74"/>
          <w:jc w:val="center"/>
        </w:trPr>
        <w:tc>
          <w:tcPr>
            <w:tcW w:w="800" w:type="dxa"/>
            <w:tcBorders>
              <w:top w:val="single" w:sz="4" w:space="0" w:color="auto"/>
              <w:left w:val="single" w:sz="4" w:space="0" w:color="auto"/>
              <w:bottom w:val="single" w:sz="4" w:space="0" w:color="auto"/>
              <w:right w:val="single" w:sz="4" w:space="0" w:color="auto"/>
            </w:tcBorders>
            <w:vAlign w:val="center"/>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序号</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文号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widowControl/>
              <w:spacing w:line="360" w:lineRule="auto"/>
              <w:ind w:leftChars="-44" w:left="-92" w:rightChars="-51" w:right="-107"/>
              <w:jc w:val="center"/>
              <w:rPr>
                <w:rFonts w:ascii="仿宋_GB2312"/>
                <w:kern w:val="0"/>
                <w:sz w:val="24"/>
              </w:rPr>
            </w:pPr>
            <w:r>
              <w:rPr>
                <w:rFonts w:ascii="仿宋_GB2312" w:hint="eastAsia"/>
                <w:kern w:val="0"/>
                <w:sz w:val="24"/>
              </w:rPr>
              <w:t>文件名称及文号</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sz w:val="24"/>
              </w:rPr>
            </w:pPr>
            <w:r>
              <w:rPr>
                <w:rFonts w:ascii="仿宋_GB2312" w:hint="eastAsia"/>
                <w:sz w:val="24"/>
              </w:rPr>
              <w:t>1</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2015</w:t>
            </w:r>
            <w:r>
              <w:rPr>
                <w:rFonts w:hint="eastAsia"/>
              </w:rPr>
              <w:t>〕</w:t>
            </w:r>
            <w:r>
              <w:rPr>
                <w:rFonts w:hint="eastAsia"/>
              </w:rPr>
              <w:t>129</w:t>
            </w:r>
            <w:r>
              <w:rPr>
                <w:rFonts w:hint="eastAsia"/>
              </w:rPr>
              <w:t>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关于印发《杭州市小客车县（市）指标配置管理办法》的通知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sz w:val="24"/>
              </w:rPr>
            </w:pPr>
            <w:r>
              <w:rPr>
                <w:rFonts w:ascii="仿宋_GB2312" w:hint="eastAsia"/>
                <w:sz w:val="24"/>
              </w:rPr>
              <w:t>2</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2014</w:t>
            </w:r>
            <w:r>
              <w:rPr>
                <w:rFonts w:hint="eastAsia"/>
              </w:rPr>
              <w:t>〕</w:t>
            </w:r>
            <w:r>
              <w:rPr>
                <w:rFonts w:hint="eastAsia"/>
              </w:rPr>
              <w:t>44</w:t>
            </w:r>
            <w:r>
              <w:rPr>
                <w:rFonts w:hint="eastAsia"/>
              </w:rPr>
              <w:t>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关于印发《杭州市客运出租汽车经营权期满再配置办法》的通知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sz w:val="24"/>
              </w:rPr>
            </w:pPr>
            <w:r>
              <w:rPr>
                <w:rFonts w:ascii="仿宋_GB2312" w:hint="eastAsia"/>
                <w:sz w:val="24"/>
              </w:rPr>
              <w:t>3</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2010</w:t>
            </w:r>
            <w:r>
              <w:rPr>
                <w:rFonts w:hint="eastAsia"/>
              </w:rPr>
              <w:t>〕</w:t>
            </w:r>
            <w:r>
              <w:rPr>
                <w:rFonts w:hint="eastAsia"/>
              </w:rPr>
              <w:t>163</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关于印发《关于进一步规范公路违法超限运输行政处罚工作的意见（试行）》的通知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sz w:val="24"/>
              </w:rPr>
            </w:pPr>
            <w:r>
              <w:rPr>
                <w:rFonts w:ascii="仿宋_GB2312" w:hint="eastAsia"/>
                <w:sz w:val="24"/>
              </w:rPr>
              <w:t>4</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2010</w:t>
            </w:r>
            <w:r>
              <w:rPr>
                <w:rFonts w:hint="eastAsia"/>
              </w:rPr>
              <w:t>〕</w:t>
            </w:r>
            <w:r>
              <w:rPr>
                <w:rFonts w:hint="eastAsia"/>
              </w:rPr>
              <w:t>115</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关于印发《杭州市公路水运工程合同监督管理办法》的通知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5</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杭交发〔</w:t>
            </w:r>
            <w:r>
              <w:rPr>
                <w:rFonts w:hint="eastAsia"/>
              </w:rPr>
              <w:t>2011</w:t>
            </w:r>
            <w:r>
              <w:rPr>
                <w:rFonts w:hint="eastAsia"/>
              </w:rPr>
              <w:t>〕</w:t>
            </w:r>
            <w:r>
              <w:rPr>
                <w:rFonts w:hint="eastAsia"/>
              </w:rPr>
              <w:t>93</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关于印发《杭州市公路水运工程质量和安全生产监督管</w:t>
            </w:r>
            <w:r>
              <w:rPr>
                <w:rFonts w:hint="eastAsia"/>
              </w:rPr>
              <w:t>理行政处罚裁量标准（试行）》的通知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spacing w:line="360" w:lineRule="auto"/>
              <w:jc w:val="center"/>
              <w:rPr>
                <w:rFonts w:ascii="仿宋_GB2312" w:hint="eastAsia"/>
                <w:sz w:val="24"/>
              </w:rPr>
            </w:pPr>
            <w:r>
              <w:rPr>
                <w:rFonts w:ascii="仿宋_GB2312" w:hint="eastAsia"/>
                <w:sz w:val="24"/>
              </w:rPr>
              <w:t>6</w:t>
            </w:r>
          </w:p>
        </w:tc>
        <w:tc>
          <w:tcPr>
            <w:tcW w:w="2198"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杭交发〔</w:t>
            </w:r>
            <w:r>
              <w:rPr>
                <w:rFonts w:hint="eastAsia"/>
              </w:rPr>
              <w:t>2008</w:t>
            </w:r>
            <w:r>
              <w:rPr>
                <w:rFonts w:hint="eastAsia"/>
              </w:rPr>
              <w:t>〕</w:t>
            </w:r>
            <w:r>
              <w:rPr>
                <w:rFonts w:hint="eastAsia"/>
              </w:rPr>
              <w:t>216</w:t>
            </w:r>
            <w:r>
              <w:rPr>
                <w:rFonts w:hint="eastAsia"/>
              </w:rPr>
              <w:t>号</w:t>
            </w:r>
          </w:p>
        </w:tc>
        <w:tc>
          <w:tcPr>
            <w:tcW w:w="5809" w:type="dxa"/>
            <w:tcBorders>
              <w:top w:val="nil"/>
              <w:left w:val="single" w:sz="4" w:space="0" w:color="auto"/>
              <w:bottom w:val="single" w:sz="4" w:space="0" w:color="auto"/>
              <w:right w:val="single" w:sz="4" w:space="0" w:color="auto"/>
            </w:tcBorders>
            <w:shd w:val="clear" w:color="000000" w:fill="FFFFFF"/>
            <w:vAlign w:val="center"/>
          </w:tcPr>
          <w:p w:rsidR="00000000" w:rsidRDefault="00E91EB9">
            <w:r>
              <w:rPr>
                <w:rFonts w:hint="eastAsia"/>
              </w:rPr>
              <w:t>关于印发《杭州市交通危险性较大工程安全专项施工方案编制及论证审查办法》的通知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spacing w:line="360" w:lineRule="auto"/>
              <w:jc w:val="center"/>
              <w:rPr>
                <w:rFonts w:ascii="仿宋_GB2312" w:hint="eastAsia"/>
                <w:sz w:val="24"/>
              </w:rPr>
            </w:pPr>
            <w:r>
              <w:rPr>
                <w:rFonts w:ascii="仿宋_GB2312" w:hint="eastAsia"/>
                <w:sz w:val="24"/>
              </w:rPr>
              <w:t>7</w:t>
            </w:r>
          </w:p>
        </w:tc>
        <w:tc>
          <w:tcPr>
            <w:tcW w:w="2198"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杭交发〔</w:t>
            </w:r>
            <w:r>
              <w:rPr>
                <w:rFonts w:hint="eastAsia"/>
              </w:rPr>
              <w:t>2008</w:t>
            </w:r>
            <w:r>
              <w:rPr>
                <w:rFonts w:hint="eastAsia"/>
              </w:rPr>
              <w:t>〕</w:t>
            </w:r>
            <w:r>
              <w:rPr>
                <w:rFonts w:hint="eastAsia"/>
              </w:rPr>
              <w:t>61</w:t>
            </w:r>
            <w:r>
              <w:rPr>
                <w:rFonts w:hint="eastAsia"/>
              </w:rPr>
              <w:t>号</w:t>
            </w:r>
          </w:p>
        </w:tc>
        <w:tc>
          <w:tcPr>
            <w:tcW w:w="580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关于印发《杭州市江东大桥工程质量鉴定办法》的通知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8</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杭交〔</w:t>
            </w:r>
            <w:r>
              <w:rPr>
                <w:rFonts w:hint="eastAsia"/>
              </w:rPr>
              <w:t>2005</w:t>
            </w:r>
            <w:r>
              <w:rPr>
                <w:rFonts w:hint="eastAsia"/>
              </w:rPr>
              <w:t>〕</w:t>
            </w:r>
            <w:r>
              <w:rPr>
                <w:rFonts w:hint="eastAsia"/>
              </w:rPr>
              <w:t>116</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关于印发《杭州市客运出租汽车驾驶员服务资格证管理办法》的通知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9</w:t>
            </w:r>
          </w:p>
        </w:tc>
        <w:tc>
          <w:tcPr>
            <w:tcW w:w="2198" w:type="dxa"/>
            <w:tcBorders>
              <w:top w:val="nil"/>
              <w:left w:val="single" w:sz="4" w:space="0" w:color="auto"/>
              <w:bottom w:val="single" w:sz="4" w:space="0" w:color="auto"/>
              <w:right w:val="single" w:sz="4" w:space="0" w:color="auto"/>
            </w:tcBorders>
            <w:vAlign w:val="center"/>
          </w:tcPr>
          <w:p w:rsidR="00000000" w:rsidRDefault="00E91EB9">
            <w:r>
              <w:rPr>
                <w:rFonts w:hint="eastAsia"/>
              </w:rPr>
              <w:t>杭交发〔</w:t>
            </w:r>
            <w:r>
              <w:rPr>
                <w:rFonts w:hint="eastAsia"/>
              </w:rPr>
              <w:t>2005</w:t>
            </w:r>
            <w:r>
              <w:rPr>
                <w:rFonts w:hint="eastAsia"/>
              </w:rPr>
              <w:t>〕</w:t>
            </w:r>
            <w:r>
              <w:rPr>
                <w:rFonts w:hint="eastAsia"/>
              </w:rPr>
              <w:t>95</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r>
              <w:rPr>
                <w:rFonts w:hint="eastAsia"/>
              </w:rPr>
              <w:t>关于印发《杭州市交通建设工程现场安全监督管理若干规定》的通知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10</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杭运管〔</w:t>
            </w:r>
            <w:r>
              <w:rPr>
                <w:rFonts w:hint="eastAsia"/>
              </w:rPr>
              <w:t>2004</w:t>
            </w:r>
            <w:r>
              <w:rPr>
                <w:rFonts w:hint="eastAsia"/>
              </w:rPr>
              <w:t>〕</w:t>
            </w:r>
            <w:r>
              <w:rPr>
                <w:rFonts w:hint="eastAsia"/>
              </w:rPr>
              <w:t>85</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关于进一步规范客运出租汽车座套使用管理的通知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spacing w:line="360" w:lineRule="auto"/>
              <w:jc w:val="center"/>
              <w:rPr>
                <w:rFonts w:ascii="仿宋_GB2312" w:hint="eastAsia"/>
                <w:sz w:val="24"/>
              </w:rPr>
            </w:pPr>
            <w:r>
              <w:rPr>
                <w:rFonts w:ascii="仿宋_GB2312" w:hint="eastAsia"/>
                <w:sz w:val="24"/>
              </w:rPr>
              <w:t>11</w:t>
            </w:r>
          </w:p>
        </w:tc>
        <w:tc>
          <w:tcPr>
            <w:tcW w:w="2198"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杭运管</w:t>
            </w:r>
            <w:r>
              <w:rPr>
                <w:rFonts w:hint="eastAsia"/>
              </w:rPr>
              <w:t>〔</w:t>
            </w:r>
            <w:r>
              <w:rPr>
                <w:rFonts w:hint="eastAsia"/>
              </w:rPr>
              <w:t>2014</w:t>
            </w:r>
            <w:r>
              <w:rPr>
                <w:rFonts w:hint="eastAsia"/>
              </w:rPr>
              <w:t>〕</w:t>
            </w:r>
            <w:r>
              <w:rPr>
                <w:rFonts w:hint="eastAsia"/>
              </w:rPr>
              <w:t>71</w:t>
            </w:r>
            <w:r>
              <w:rPr>
                <w:rFonts w:hint="eastAsia"/>
              </w:rPr>
              <w:t>号</w:t>
            </w:r>
          </w:p>
        </w:tc>
        <w:tc>
          <w:tcPr>
            <w:tcW w:w="580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关于明确杭州市主城区（不含萧山、余杭区）出租汽车承包费、班费最高限额及相关问题的通知（试行）</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12</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杭运〔</w:t>
            </w:r>
            <w:r>
              <w:rPr>
                <w:rFonts w:hint="eastAsia"/>
              </w:rPr>
              <w:t>2018</w:t>
            </w:r>
            <w:r>
              <w:rPr>
                <w:rFonts w:hint="eastAsia"/>
              </w:rPr>
              <w:t>〕</w:t>
            </w:r>
            <w:r>
              <w:rPr>
                <w:rFonts w:hint="eastAsia"/>
              </w:rPr>
              <w:t>143</w:t>
            </w:r>
            <w:r>
              <w:rPr>
                <w:rFonts w:hint="eastAsia"/>
              </w:rPr>
              <w:t>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关于印发《杭州市道路运输系统告知承诺审批试点实施方案》的通知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13</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2017</w:t>
            </w:r>
            <w:r>
              <w:rPr>
                <w:rFonts w:hint="eastAsia"/>
              </w:rPr>
              <w:t>〕</w:t>
            </w:r>
            <w:r>
              <w:rPr>
                <w:rFonts w:hint="eastAsia"/>
              </w:rPr>
              <w:t>23</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关于印发《杭州市机动车维修业失信黑名单发布制度》的通知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14</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2015</w:t>
            </w:r>
            <w:r>
              <w:rPr>
                <w:rFonts w:hint="eastAsia"/>
              </w:rPr>
              <w:t>〕</w:t>
            </w:r>
            <w:r>
              <w:rPr>
                <w:rFonts w:hint="eastAsia"/>
              </w:rPr>
              <w:t>70</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关于印发《杭州市汽车租赁企业服务质量信用考核办法（修订）》的通知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15</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2010</w:t>
            </w:r>
            <w:r>
              <w:rPr>
                <w:rFonts w:hint="eastAsia"/>
              </w:rPr>
              <w:t>〕</w:t>
            </w:r>
            <w:r>
              <w:rPr>
                <w:rFonts w:hint="eastAsia"/>
              </w:rPr>
              <w:t>82</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关于印发《杭州市机动车服务管理局行政处罚自由裁量权量化细化标准》的通知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16</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2006</w:t>
            </w:r>
            <w:r>
              <w:rPr>
                <w:rFonts w:hint="eastAsia"/>
              </w:rPr>
              <w:t>〕</w:t>
            </w:r>
            <w:r>
              <w:rPr>
                <w:rFonts w:hint="eastAsia"/>
              </w:rPr>
              <w:t>24</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关于印发《杭州市机动车三类专项、摩托车维修企业年度行政监督检查制度》的通知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spacing w:line="360" w:lineRule="auto"/>
              <w:jc w:val="center"/>
              <w:rPr>
                <w:rFonts w:ascii="仿宋_GB2312" w:hint="eastAsia"/>
                <w:sz w:val="24"/>
              </w:rPr>
            </w:pPr>
            <w:r>
              <w:rPr>
                <w:rFonts w:ascii="仿宋_GB2312" w:hint="eastAsia"/>
                <w:sz w:val="24"/>
              </w:rPr>
              <w:t>17</w:t>
            </w:r>
          </w:p>
        </w:tc>
        <w:tc>
          <w:tcPr>
            <w:tcW w:w="2198"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杭车管</w:t>
            </w:r>
            <w:r>
              <w:rPr>
                <w:rFonts w:hint="eastAsia"/>
              </w:rPr>
              <w:t>〔</w:t>
            </w:r>
            <w:r>
              <w:rPr>
                <w:rFonts w:hint="eastAsia"/>
              </w:rPr>
              <w:t>2006</w:t>
            </w:r>
            <w:r>
              <w:rPr>
                <w:rFonts w:hint="eastAsia"/>
              </w:rPr>
              <w:t>〕</w:t>
            </w:r>
            <w:r>
              <w:rPr>
                <w:rFonts w:hint="eastAsia"/>
              </w:rPr>
              <w:t>72</w:t>
            </w:r>
            <w:r>
              <w:rPr>
                <w:rFonts w:hint="eastAsia"/>
              </w:rPr>
              <w:t>号</w:t>
            </w:r>
          </w:p>
        </w:tc>
        <w:tc>
          <w:tcPr>
            <w:tcW w:w="580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关于印发《杭州市机动车维修质量检验经营机构信用考核办法》的通知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18</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2007</w:t>
            </w:r>
            <w:r>
              <w:rPr>
                <w:rFonts w:hint="eastAsia"/>
              </w:rPr>
              <w:t>〕</w:t>
            </w:r>
            <w:r>
              <w:rPr>
                <w:rFonts w:hint="eastAsia"/>
              </w:rPr>
              <w:t>13</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关于印发《杭州市机动车驾驶培训〈教练车辆备案证〉管理办法》的通知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19</w:t>
            </w:r>
          </w:p>
        </w:tc>
        <w:tc>
          <w:tcPr>
            <w:tcW w:w="2198"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2007</w:t>
            </w:r>
            <w:r>
              <w:rPr>
                <w:rFonts w:hint="eastAsia"/>
              </w:rPr>
              <w:t>〕</w:t>
            </w:r>
            <w:r>
              <w:rPr>
                <w:rFonts w:hint="eastAsia"/>
              </w:rPr>
              <w:t>38</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关于实施杭州市机动车配件经销业登记备案的通知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shd w:val="clear" w:color="auto" w:fill="auto"/>
            <w:vAlign w:val="bottom"/>
          </w:tcPr>
          <w:p w:rsidR="00000000" w:rsidRDefault="00E91EB9">
            <w:pPr>
              <w:spacing w:line="360" w:lineRule="auto"/>
              <w:jc w:val="center"/>
              <w:rPr>
                <w:rFonts w:ascii="仿宋_GB2312" w:hint="eastAsia"/>
                <w:sz w:val="24"/>
              </w:rPr>
            </w:pPr>
            <w:r>
              <w:rPr>
                <w:rFonts w:ascii="仿宋_GB2312" w:hint="eastAsia"/>
                <w:sz w:val="24"/>
              </w:rPr>
              <w:lastRenderedPageBreak/>
              <w:t>20</w:t>
            </w:r>
          </w:p>
        </w:tc>
        <w:tc>
          <w:tcPr>
            <w:tcW w:w="2198"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杭车管</w:t>
            </w:r>
            <w:r>
              <w:rPr>
                <w:rFonts w:hint="eastAsia"/>
              </w:rPr>
              <w:t>〔</w:t>
            </w:r>
            <w:r>
              <w:rPr>
                <w:rFonts w:hint="eastAsia"/>
              </w:rPr>
              <w:t>2007</w:t>
            </w:r>
            <w:r>
              <w:rPr>
                <w:rFonts w:hint="eastAsia"/>
              </w:rPr>
              <w:t>〕</w:t>
            </w:r>
            <w:r>
              <w:rPr>
                <w:rFonts w:hint="eastAsia"/>
              </w:rPr>
              <w:t>83</w:t>
            </w:r>
            <w:r>
              <w:rPr>
                <w:rFonts w:hint="eastAsia"/>
              </w:rPr>
              <w:t>号</w:t>
            </w:r>
          </w:p>
        </w:tc>
        <w:tc>
          <w:tcPr>
            <w:tcW w:w="5809" w:type="dxa"/>
            <w:tcBorders>
              <w:top w:val="nil"/>
              <w:left w:val="single" w:sz="4" w:space="0" w:color="auto"/>
              <w:bottom w:val="single" w:sz="4" w:space="0" w:color="auto"/>
              <w:right w:val="single" w:sz="4" w:space="0" w:color="auto"/>
            </w:tcBorders>
            <w:shd w:val="clear" w:color="000000" w:fill="FFFFFF"/>
            <w:vAlign w:val="center"/>
          </w:tcPr>
          <w:p w:rsidR="00000000" w:rsidRDefault="00E91EB9">
            <w:pPr>
              <w:rPr>
                <w:rFonts w:hint="eastAsia"/>
              </w:rPr>
            </w:pPr>
            <w:r>
              <w:rPr>
                <w:rFonts w:hint="eastAsia"/>
              </w:rPr>
              <w:t>关于进一步加强机动车维修企业配件管理的通知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21</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2008</w:t>
            </w:r>
            <w:r>
              <w:rPr>
                <w:rFonts w:hint="eastAsia"/>
              </w:rPr>
              <w:t>〕</w:t>
            </w:r>
            <w:r>
              <w:rPr>
                <w:rFonts w:hint="eastAsia"/>
              </w:rPr>
              <w:t>36</w:t>
            </w:r>
            <w:r>
              <w:rPr>
                <w:rFonts w:hint="eastAsia"/>
              </w:rPr>
              <w:t>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关于印发《杭州市机</w:t>
            </w:r>
            <w:r>
              <w:rPr>
                <w:rFonts w:hint="eastAsia"/>
              </w:rPr>
              <w:t>动车驾培机构信用质量考核办法》（修订）的通知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22</w:t>
            </w:r>
          </w:p>
        </w:tc>
        <w:tc>
          <w:tcPr>
            <w:tcW w:w="2198"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杭车管</w:t>
            </w:r>
            <w:r>
              <w:rPr>
                <w:rFonts w:hint="eastAsia"/>
              </w:rPr>
              <w:t>〔</w:t>
            </w:r>
            <w:r>
              <w:rPr>
                <w:rFonts w:hint="eastAsia"/>
              </w:rPr>
              <w:t>2008</w:t>
            </w:r>
            <w:r>
              <w:rPr>
                <w:rFonts w:hint="eastAsia"/>
              </w:rPr>
              <w:t>〕</w:t>
            </w:r>
            <w:r>
              <w:rPr>
                <w:rFonts w:hint="eastAsia"/>
              </w:rPr>
              <w:t>37</w:t>
            </w:r>
            <w:r>
              <w:rPr>
                <w:rFonts w:hint="eastAsia"/>
              </w:rPr>
              <w:t>号</w:t>
            </w:r>
          </w:p>
        </w:tc>
        <w:tc>
          <w:tcPr>
            <w:tcW w:w="5809" w:type="dxa"/>
            <w:tcBorders>
              <w:top w:val="single" w:sz="4" w:space="0" w:color="auto"/>
              <w:left w:val="single" w:sz="4" w:space="0" w:color="auto"/>
              <w:bottom w:val="single" w:sz="4" w:space="0" w:color="auto"/>
              <w:right w:val="single" w:sz="4" w:space="0" w:color="auto"/>
            </w:tcBorders>
            <w:vAlign w:val="center"/>
          </w:tcPr>
          <w:p w:rsidR="00000000" w:rsidRDefault="00E91EB9">
            <w:pPr>
              <w:rPr>
                <w:rFonts w:hint="eastAsia"/>
              </w:rPr>
            </w:pPr>
            <w:r>
              <w:rPr>
                <w:rFonts w:hint="eastAsia"/>
              </w:rPr>
              <w:t>关于印发《杭州市道路运输驾驶员从业资格培训机构信用质量考核办法》（修订）的通知</w:t>
            </w:r>
          </w:p>
        </w:tc>
      </w:tr>
      <w:tr w:rsidR="00000000">
        <w:trPr>
          <w:trHeight w:val="567"/>
          <w:jc w:val="center"/>
        </w:trPr>
        <w:tc>
          <w:tcPr>
            <w:tcW w:w="800" w:type="dxa"/>
            <w:tcBorders>
              <w:top w:val="single" w:sz="4" w:space="0" w:color="auto"/>
              <w:left w:val="single" w:sz="4" w:space="0" w:color="auto"/>
              <w:bottom w:val="single" w:sz="4" w:space="0" w:color="auto"/>
              <w:right w:val="single" w:sz="4" w:space="0" w:color="auto"/>
            </w:tcBorders>
            <w:vAlign w:val="bottom"/>
          </w:tcPr>
          <w:p w:rsidR="00000000" w:rsidRDefault="00E91EB9">
            <w:pPr>
              <w:spacing w:line="360" w:lineRule="auto"/>
              <w:jc w:val="center"/>
              <w:rPr>
                <w:rFonts w:ascii="仿宋_GB2312" w:hint="eastAsia"/>
                <w:sz w:val="24"/>
              </w:rPr>
            </w:pPr>
            <w:r>
              <w:rPr>
                <w:rFonts w:ascii="仿宋_GB2312" w:hint="eastAsia"/>
                <w:sz w:val="24"/>
              </w:rPr>
              <w:t>23</w:t>
            </w:r>
          </w:p>
        </w:tc>
        <w:tc>
          <w:tcPr>
            <w:tcW w:w="2198" w:type="dxa"/>
            <w:tcBorders>
              <w:top w:val="nil"/>
              <w:left w:val="single" w:sz="4" w:space="0" w:color="auto"/>
              <w:bottom w:val="single" w:sz="4" w:space="0" w:color="auto"/>
              <w:right w:val="single" w:sz="4" w:space="0" w:color="auto"/>
            </w:tcBorders>
            <w:vAlign w:val="center"/>
          </w:tcPr>
          <w:p w:rsidR="00000000" w:rsidRDefault="00E91EB9">
            <w:r>
              <w:rPr>
                <w:rFonts w:hint="eastAsia"/>
              </w:rPr>
              <w:t>杭车管</w:t>
            </w:r>
            <w:r>
              <w:rPr>
                <w:rFonts w:hint="eastAsia"/>
              </w:rPr>
              <w:t>〔</w:t>
            </w:r>
            <w:r>
              <w:rPr>
                <w:rFonts w:hint="eastAsia"/>
              </w:rPr>
              <w:t>2011</w:t>
            </w:r>
            <w:r>
              <w:rPr>
                <w:rFonts w:hint="eastAsia"/>
              </w:rPr>
              <w:t>〕</w:t>
            </w:r>
            <w:r>
              <w:rPr>
                <w:rFonts w:hint="eastAsia"/>
              </w:rPr>
              <w:t>64</w:t>
            </w:r>
            <w:r>
              <w:rPr>
                <w:rFonts w:hint="eastAsia"/>
              </w:rPr>
              <w:t>号</w:t>
            </w:r>
          </w:p>
        </w:tc>
        <w:tc>
          <w:tcPr>
            <w:tcW w:w="5809" w:type="dxa"/>
            <w:tcBorders>
              <w:top w:val="nil"/>
              <w:left w:val="single" w:sz="4" w:space="0" w:color="auto"/>
              <w:bottom w:val="single" w:sz="4" w:space="0" w:color="auto"/>
              <w:right w:val="single" w:sz="4" w:space="0" w:color="auto"/>
            </w:tcBorders>
            <w:vAlign w:val="center"/>
          </w:tcPr>
          <w:p w:rsidR="00000000" w:rsidRDefault="00E91EB9">
            <w:r>
              <w:rPr>
                <w:rFonts w:hint="eastAsia"/>
              </w:rPr>
              <w:t>关于印发《杭州市机动车维修企业信用考核办法》（修订）的通知</w:t>
            </w:r>
          </w:p>
        </w:tc>
      </w:tr>
    </w:tbl>
    <w:p w:rsidR="00000000" w:rsidRDefault="00E91EB9">
      <w:pPr>
        <w:spacing w:line="360" w:lineRule="auto"/>
        <w:rPr>
          <w:rFonts w:ascii="仿宋_GB2312" w:eastAsia="仿宋_GB2312" w:hint="eastAsia"/>
          <w:sz w:val="32"/>
          <w:szCs w:val="32"/>
        </w:rPr>
      </w:pPr>
    </w:p>
    <w:p w:rsidR="00000000" w:rsidRDefault="00E91EB9">
      <w:pPr>
        <w:spacing w:line="336" w:lineRule="auto"/>
        <w:jc w:val="center"/>
        <w:rPr>
          <w:b/>
        </w:rPr>
      </w:pPr>
    </w:p>
    <w:p w:rsidR="00000000" w:rsidRDefault="00E91EB9">
      <w:pPr>
        <w:spacing w:line="336" w:lineRule="auto"/>
        <w:ind w:leftChars="100" w:left="210"/>
        <w:rPr>
          <w:rFonts w:eastAsia="仿宋_GB2312"/>
          <w:sz w:val="32"/>
        </w:rPr>
      </w:pPr>
    </w:p>
    <w:p w:rsidR="00000000" w:rsidRDefault="00E91EB9">
      <w:pPr>
        <w:spacing w:line="336" w:lineRule="auto"/>
        <w:rPr>
          <w:rFonts w:hint="eastAsia"/>
          <w:b/>
          <w:sz w:val="36"/>
          <w:szCs w:val="36"/>
        </w:rPr>
      </w:pPr>
    </w:p>
    <w:p w:rsidR="00000000" w:rsidRDefault="00E91EB9">
      <w:pPr>
        <w:spacing w:line="336" w:lineRule="auto"/>
        <w:rPr>
          <w:rFonts w:hint="eastAsia"/>
          <w:b/>
          <w:sz w:val="36"/>
          <w:szCs w:val="36"/>
        </w:rPr>
      </w:pPr>
    </w:p>
    <w:p w:rsidR="00000000" w:rsidRDefault="00E91EB9">
      <w:pPr>
        <w:spacing w:line="336" w:lineRule="auto"/>
        <w:rPr>
          <w:rFonts w:hint="eastAsia"/>
          <w:b/>
          <w:sz w:val="36"/>
          <w:szCs w:val="36"/>
        </w:rPr>
      </w:pPr>
    </w:p>
    <w:p w:rsidR="00000000" w:rsidRDefault="00E91EB9">
      <w:pPr>
        <w:spacing w:line="336" w:lineRule="auto"/>
        <w:rPr>
          <w:b/>
          <w:sz w:val="36"/>
          <w:szCs w:val="36"/>
        </w:rPr>
      </w:pPr>
    </w:p>
    <w:p w:rsidR="00000000" w:rsidRDefault="00E91EB9">
      <w:pPr>
        <w:spacing w:line="336" w:lineRule="auto"/>
        <w:rPr>
          <w:b/>
          <w:sz w:val="36"/>
          <w:szCs w:val="36"/>
        </w:rPr>
      </w:pPr>
    </w:p>
    <w:p w:rsidR="00000000" w:rsidRDefault="00E91EB9">
      <w:pPr>
        <w:spacing w:line="336" w:lineRule="auto"/>
        <w:rPr>
          <w:b/>
          <w:sz w:val="36"/>
          <w:szCs w:val="36"/>
        </w:rPr>
      </w:pPr>
    </w:p>
    <w:p w:rsidR="00000000" w:rsidRDefault="00E91EB9">
      <w:pPr>
        <w:spacing w:line="336" w:lineRule="auto"/>
        <w:rPr>
          <w:b/>
          <w:sz w:val="36"/>
          <w:szCs w:val="36"/>
        </w:rPr>
      </w:pPr>
    </w:p>
    <w:p w:rsidR="00000000" w:rsidRDefault="00E91EB9">
      <w:pPr>
        <w:spacing w:line="336" w:lineRule="auto"/>
        <w:rPr>
          <w:b/>
          <w:sz w:val="36"/>
          <w:szCs w:val="36"/>
        </w:rPr>
      </w:pPr>
    </w:p>
    <w:p w:rsidR="00000000" w:rsidRDefault="00E91EB9">
      <w:pPr>
        <w:rPr>
          <w:b/>
          <w:sz w:val="36"/>
          <w:szCs w:val="36"/>
        </w:rPr>
      </w:pPr>
    </w:p>
    <w:p w:rsidR="00000000" w:rsidRDefault="00E91EB9">
      <w:pPr>
        <w:spacing w:line="336" w:lineRule="auto"/>
        <w:rPr>
          <w:rFonts w:hint="eastAsia"/>
          <w:b/>
          <w:sz w:val="36"/>
          <w:szCs w:val="36"/>
        </w:rPr>
      </w:pPr>
    </w:p>
    <w:p w:rsidR="00000000" w:rsidRDefault="00E91EB9">
      <w:pPr>
        <w:spacing w:line="336" w:lineRule="auto"/>
        <w:jc w:val="center"/>
        <w:rPr>
          <w:bCs/>
          <w:color w:val="FFFFFF"/>
          <w:sz w:val="52"/>
          <w:szCs w:val="52"/>
        </w:rPr>
      </w:pP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sz w:val="10"/>
          <w:szCs w:val="10"/>
        </w:rPr>
        <w:tab/>
      </w:r>
      <w:r>
        <w:rPr>
          <w:bCs/>
          <w:color w:val="FFFFFF"/>
          <w:sz w:val="10"/>
          <w:szCs w:val="10"/>
        </w:rPr>
        <w:t xml:space="preserve">   $__$</w:t>
      </w:r>
    </w:p>
    <w:p w:rsidR="00000000" w:rsidRDefault="00E91EB9">
      <w:pPr>
        <w:spacing w:line="336" w:lineRule="auto"/>
        <w:jc w:val="center"/>
        <w:rPr>
          <w:rFonts w:ascii="仿宋_GB2312" w:eastAsia="仿宋_GB2312"/>
          <w:sz w:val="32"/>
          <w:szCs w:val="32"/>
        </w:rPr>
      </w:pPr>
      <w:r>
        <w:rPr>
          <w:b/>
          <w:sz w:val="36"/>
          <w:szCs w:val="36"/>
        </w:rPr>
        <w:t xml:space="preserve">                            </w:t>
      </w:r>
      <w:r>
        <w:fldChar w:fldCharType="begin">
          <w:ffData>
            <w:name w:val="FileSendDate"/>
            <w:enabled/>
            <w:calcOnExit w:val="0"/>
            <w:textInput/>
          </w:ffData>
        </w:fldChar>
      </w:r>
      <w:bookmarkStart w:id="0" w:name="FileSendDate"/>
      <w:r>
        <w:instrText xml:space="preserve"> FORMTEXT </w:instrText>
      </w:r>
      <w:r>
        <w:fldChar w:fldCharType="separate"/>
      </w:r>
      <w:r>
        <w:t>     </w:t>
      </w:r>
      <w:r>
        <w:fldChar w:fldCharType="end"/>
      </w:r>
      <w:bookmarkEnd w:id="0"/>
    </w:p>
    <w:p w:rsidR="00000000" w:rsidRDefault="00E91EB9">
      <w:pPr>
        <w:spacing w:line="336" w:lineRule="auto"/>
        <w:jc w:val="center"/>
        <w:rPr>
          <w:b/>
          <w:sz w:val="36"/>
          <w:szCs w:val="36"/>
        </w:rPr>
      </w:pPr>
      <w:r>
        <w:rPr>
          <w:rFonts w:hint="eastAsia"/>
          <w:b/>
          <w:sz w:val="36"/>
          <w:szCs w:val="36"/>
        </w:rPr>
        <w:t xml:space="preserve">    </w:t>
      </w:r>
    </w:p>
    <w:p w:rsidR="00000000" w:rsidRDefault="00E91EB9">
      <w:pPr>
        <w:jc w:val="center"/>
        <w:rPr>
          <w:rFonts w:ascii="仿宋_GB2312" w:eastAsia="仿宋_GB2312" w:hint="eastAsia"/>
          <w:sz w:val="32"/>
          <w:szCs w:val="32"/>
        </w:rPr>
      </w:pPr>
      <w:r>
        <w:rPr>
          <w:rFonts w:hint="eastAsia"/>
          <w:b/>
          <w:sz w:val="36"/>
          <w:szCs w:val="36"/>
        </w:rPr>
        <w:t xml:space="preserve">                       </w:t>
      </w:r>
    </w:p>
    <w:p w:rsidR="00000000" w:rsidRDefault="00E91EB9">
      <w:pPr>
        <w:spacing w:line="336" w:lineRule="auto"/>
        <w:jc w:val="center"/>
        <w:rPr>
          <w:rFonts w:hint="eastAsia"/>
          <w:b/>
          <w:sz w:val="36"/>
          <w:szCs w:val="36"/>
        </w:rPr>
      </w:pPr>
    </w:p>
    <w:p w:rsidR="00E91EB9" w:rsidRDefault="00E91EB9">
      <w:pPr>
        <w:spacing w:line="336" w:lineRule="auto"/>
        <w:rPr>
          <w:rFonts w:eastAsia="仿宋_GB2312"/>
          <w:spacing w:val="2"/>
          <w:sz w:val="24"/>
        </w:rPr>
      </w:pPr>
    </w:p>
    <w:sectPr w:rsidR="00E91EB9">
      <w:footerReference w:type="even" r:id="rId6"/>
      <w:footerReference w:type="default" r:id="rId7"/>
      <w:pgSz w:w="11906" w:h="16838"/>
      <w:pgMar w:top="2155" w:right="1588" w:bottom="1701"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EB9" w:rsidRDefault="00E91EB9">
      <w:r>
        <w:separator/>
      </w:r>
    </w:p>
  </w:endnote>
  <w:endnote w:type="continuationSeparator" w:id="1">
    <w:p w:rsidR="00E91EB9" w:rsidRDefault="00E91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charset w:val="00"/>
    <w:family w:val="auto"/>
    <w:pitch w:val="default"/>
    <w:sig w:usb0="A00002BF" w:usb1="38CF7CFA" w:usb2="00000016" w:usb3="00000000" w:csb0="0004000F" w:csb1="00000000"/>
  </w:font>
  <w:font w:name="等线">
    <w:altName w:val="宋体"/>
    <w:charset w:val="00"/>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1EB9">
    <w:pPr>
      <w:pStyle w:val="a5"/>
    </w:pPr>
    <w:r>
      <w:t xml:space="preserve">    </w:t>
    </w:r>
    <w:r>
      <w:rPr>
        <w:rFonts w:ascii="宋体" w:hAnsi="宋体"/>
        <w:sz w:val="28"/>
        <w:szCs w:val="24"/>
      </w:rPr>
      <w:t>—</w:t>
    </w:r>
    <w:r>
      <w:rPr>
        <w:rFonts w:ascii="等线 Light" w:eastAsia="等线 Light" w:hAnsi="等线 Light"/>
        <w:sz w:val="28"/>
        <w:szCs w:val="28"/>
        <w:lang w:val="zh-CN"/>
      </w:rPr>
      <w:t xml:space="preserve"> </w:t>
    </w:r>
    <w:r>
      <w:rPr>
        <w:rFonts w:ascii="等线" w:eastAsia="等线" w:hAnsi="等线"/>
        <w:sz w:val="22"/>
        <w:szCs w:val="22"/>
      </w:rPr>
      <w:fldChar w:fldCharType="begin"/>
    </w:r>
    <w:r>
      <w:instrText>PAGE    \* MERGEFORMAT</w:instrText>
    </w:r>
    <w:r>
      <w:rPr>
        <w:rFonts w:ascii="等线" w:eastAsia="等线" w:hAnsi="等线"/>
        <w:sz w:val="22"/>
        <w:szCs w:val="22"/>
      </w:rPr>
      <w:fldChar w:fldCharType="separate"/>
    </w:r>
    <w:r w:rsidR="00F740AB">
      <w:rPr>
        <w:noProof/>
      </w:rPr>
      <w:t>2</w:t>
    </w:r>
    <w:r>
      <w:rPr>
        <w:rFonts w:ascii="等线 Light" w:eastAsia="等线 Light" w:hAnsi="等线 Light"/>
        <w:sz w:val="28"/>
        <w:szCs w:val="28"/>
      </w:rPr>
      <w:fldChar w:fldCharType="end"/>
    </w:r>
    <w:r>
      <w:rPr>
        <w:rFonts w:ascii="等线 Light" w:eastAsia="等线 Light" w:hAnsi="等线 Light"/>
        <w:sz w:val="28"/>
        <w:szCs w:val="28"/>
        <w:lang w:val="zh-CN"/>
      </w:rPr>
      <w:t xml:space="preserve"> </w:t>
    </w:r>
    <w:r>
      <w:rPr>
        <w:rFonts w:ascii="宋体" w:hAnsi="宋体"/>
        <w:sz w:val="28"/>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1EB9">
    <w:pPr>
      <w:pStyle w:val="a5"/>
      <w:ind w:right="360" w:firstLine="360"/>
      <w:jc w:val="right"/>
      <w:rPr>
        <w:rFonts w:ascii="宋体" w:hAnsi="宋体"/>
        <w:sz w:val="28"/>
        <w:szCs w:val="28"/>
      </w:rPr>
    </w:pPr>
    <w:r>
      <w:rPr>
        <w:rFonts w:ascii="宋体" w:hAnsi="宋体"/>
        <w:sz w:val="28"/>
        <w:szCs w:val="24"/>
      </w:rPr>
      <w:t>—</w:t>
    </w:r>
    <w:r>
      <w:rPr>
        <w:rFonts w:ascii="等线 Light" w:eastAsia="等线 Light" w:hAnsi="等线 Light"/>
        <w:sz w:val="28"/>
        <w:szCs w:val="28"/>
        <w:lang w:val="zh-CN"/>
      </w:rPr>
      <w:t xml:space="preserve"> </w:t>
    </w:r>
    <w:r>
      <w:rPr>
        <w:rFonts w:ascii="宋体" w:eastAsia="等线" w:hAnsi="宋体"/>
        <w:sz w:val="28"/>
        <w:szCs w:val="28"/>
      </w:rPr>
      <w:fldChar w:fldCharType="begin"/>
    </w:r>
    <w:r>
      <w:rPr>
        <w:rFonts w:ascii="宋体" w:hAnsi="宋体"/>
        <w:sz w:val="28"/>
        <w:szCs w:val="28"/>
      </w:rPr>
      <w:instrText>PAGE    \* MERGEFORMAT</w:instrText>
    </w:r>
    <w:r>
      <w:rPr>
        <w:rFonts w:ascii="宋体" w:eastAsia="等线" w:hAnsi="宋体"/>
        <w:sz w:val="28"/>
        <w:szCs w:val="28"/>
      </w:rPr>
      <w:fldChar w:fldCharType="separate"/>
    </w:r>
    <w:r w:rsidR="00F740AB" w:rsidRPr="00F740AB">
      <w:rPr>
        <w:noProof/>
      </w:rPr>
      <w:t>1</w:t>
    </w:r>
    <w:r>
      <w:rPr>
        <w:rFonts w:ascii="等线 Light" w:eastAsia="等线 Light" w:hAnsi="等线 Light"/>
        <w:sz w:val="28"/>
        <w:szCs w:val="28"/>
      </w:rPr>
      <w:fldChar w:fldCharType="end"/>
    </w:r>
    <w:r>
      <w:rPr>
        <w:rFonts w:ascii="等线 Light" w:eastAsia="等线 Light" w:hAnsi="等线 Light"/>
        <w:sz w:val="28"/>
        <w:szCs w:val="28"/>
        <w:lang w:val="zh-CN"/>
      </w:rPr>
      <w:t xml:space="preserve"> </w:t>
    </w:r>
    <w:r>
      <w:rPr>
        <w:rFonts w:ascii="宋体" w:hAnsi="宋体"/>
        <w:sz w:val="28"/>
        <w:szCs w:val="24"/>
      </w:rPr>
      <w:t>—</w:t>
    </w:r>
  </w:p>
  <w:p w:rsidR="00000000" w:rsidRDefault="00E91EB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EB9" w:rsidRDefault="00E91EB9">
      <w:r>
        <w:separator/>
      </w:r>
    </w:p>
  </w:footnote>
  <w:footnote w:type="continuationSeparator" w:id="1">
    <w:p w:rsidR="00E91EB9" w:rsidRDefault="00E91E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doNotShadeFormData/>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05A6"/>
    <w:rsid w:val="00000AD5"/>
    <w:rsid w:val="00011BDF"/>
    <w:rsid w:val="00046FC7"/>
    <w:rsid w:val="00060C7C"/>
    <w:rsid w:val="000655C7"/>
    <w:rsid w:val="000A4C7A"/>
    <w:rsid w:val="000B7442"/>
    <w:rsid w:val="000F04F5"/>
    <w:rsid w:val="0011199E"/>
    <w:rsid w:val="00151EB6"/>
    <w:rsid w:val="00201661"/>
    <w:rsid w:val="00212C74"/>
    <w:rsid w:val="002E0F4E"/>
    <w:rsid w:val="00323A69"/>
    <w:rsid w:val="00327267"/>
    <w:rsid w:val="003F7305"/>
    <w:rsid w:val="00431769"/>
    <w:rsid w:val="004D490A"/>
    <w:rsid w:val="005367F9"/>
    <w:rsid w:val="00541914"/>
    <w:rsid w:val="0054201E"/>
    <w:rsid w:val="005849E1"/>
    <w:rsid w:val="00591CA4"/>
    <w:rsid w:val="0062067D"/>
    <w:rsid w:val="00624C75"/>
    <w:rsid w:val="00641DD7"/>
    <w:rsid w:val="00667D92"/>
    <w:rsid w:val="006B4AF5"/>
    <w:rsid w:val="006B7082"/>
    <w:rsid w:val="00730D4C"/>
    <w:rsid w:val="008164E7"/>
    <w:rsid w:val="008D33CC"/>
    <w:rsid w:val="008E3950"/>
    <w:rsid w:val="009232AA"/>
    <w:rsid w:val="009424BA"/>
    <w:rsid w:val="009A1F92"/>
    <w:rsid w:val="009F3FE6"/>
    <w:rsid w:val="00A42C5B"/>
    <w:rsid w:val="00A46EF4"/>
    <w:rsid w:val="00A51DC6"/>
    <w:rsid w:val="00AE0AAF"/>
    <w:rsid w:val="00AF40A4"/>
    <w:rsid w:val="00B41F50"/>
    <w:rsid w:val="00B43749"/>
    <w:rsid w:val="00B67631"/>
    <w:rsid w:val="00BA254A"/>
    <w:rsid w:val="00BA7D80"/>
    <w:rsid w:val="00BB23D4"/>
    <w:rsid w:val="00BB7B4E"/>
    <w:rsid w:val="00BE2906"/>
    <w:rsid w:val="00C305A6"/>
    <w:rsid w:val="00C36F02"/>
    <w:rsid w:val="00C746DF"/>
    <w:rsid w:val="00C805BD"/>
    <w:rsid w:val="00CA1163"/>
    <w:rsid w:val="00CA42E8"/>
    <w:rsid w:val="00CE7E0F"/>
    <w:rsid w:val="00D7423F"/>
    <w:rsid w:val="00E41899"/>
    <w:rsid w:val="00E91EB9"/>
    <w:rsid w:val="00ED1849"/>
    <w:rsid w:val="00EF2417"/>
    <w:rsid w:val="00F43D4E"/>
    <w:rsid w:val="00F52538"/>
    <w:rsid w:val="00F740AB"/>
    <w:rsid w:val="5CE23501"/>
    <w:rsid w:val="7BF7F1D4"/>
    <w:rsid w:val="B79FB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眉 Char"/>
    <w:link w:val="a4"/>
    <w:uiPriority w:val="99"/>
    <w:rPr>
      <w:rFonts w:ascii="Times New Roman" w:hAnsi="Times New Roman"/>
      <w:kern w:val="2"/>
      <w:sz w:val="18"/>
      <w:szCs w:val="18"/>
    </w:rPr>
  </w:style>
  <w:style w:type="character" w:customStyle="1" w:styleId="Char0">
    <w:name w:val="页脚 Char"/>
    <w:link w:val="a5"/>
    <w:uiPriority w:val="99"/>
    <w:rPr>
      <w:rFonts w:ascii="Times New Roman" w:hAnsi="Times New Roman"/>
      <w:kern w:val="2"/>
      <w:sz w:val="18"/>
      <w:szCs w:val="18"/>
    </w:rPr>
  </w:style>
  <w:style w:type="character" w:customStyle="1" w:styleId="Char1">
    <w:name w:val="日期 Char"/>
    <w:link w:val="a6"/>
    <w:uiPriority w:val="99"/>
    <w:semiHidden/>
    <w:rPr>
      <w:rFonts w:ascii="Times New Roman" w:hAnsi="Times New Roman"/>
      <w:kern w:val="2"/>
      <w:sz w:val="21"/>
      <w:szCs w:val="24"/>
    </w:rPr>
  </w:style>
  <w:style w:type="paragraph" w:styleId="a6">
    <w:name w:val="Date"/>
    <w:basedOn w:val="a"/>
    <w:next w:val="a"/>
    <w:link w:val="Char1"/>
    <w:uiPriority w:val="99"/>
    <w:unhideWhenUsed/>
    <w:pPr>
      <w:ind w:leftChars="2500" w:left="100"/>
    </w:p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467</Words>
  <Characters>2665</Characters>
  <Application>Microsoft Office Word</Application>
  <DocSecurity>0</DocSecurity>
  <PresentationFormat/>
  <Lines>22</Lines>
  <Paragraphs>6</Paragraphs>
  <Slides>0</Slides>
  <Notes>0</Notes>
  <HiddenSlides>0</HiddenSlides>
  <MMClips>0</MMClips>
  <ScaleCrop>false</ScaleCrop>
  <Company>Lenovo</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签发人:</dc:title>
  <dc:creator>朱晨</dc:creator>
  <cp:lastModifiedBy>lenovo</cp:lastModifiedBy>
  <cp:revision>2</cp:revision>
  <cp:lastPrinted>2021-05-20T07:48:00Z</cp:lastPrinted>
  <dcterms:created xsi:type="dcterms:W3CDTF">2021-06-03T08:34:00Z</dcterms:created>
  <dcterms:modified xsi:type="dcterms:W3CDTF">2021-06-03T08:34:00Z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2052-10.1.0.5989</vt:lpwstr>
  </property>
</Properties>
</file>