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726E" w:rsidRDefault="0048726E">
      <w:pPr>
        <w:spacing w:line="40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48726E" w:rsidRDefault="0048726E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t>杭州市人防工程质量监督验收记录单</w:t>
      </w:r>
    </w:p>
    <w:p w:rsidR="0048726E" w:rsidRDefault="0048726E">
      <w:pPr>
        <w:jc w:val="center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50"/>
        <w:gridCol w:w="592"/>
        <w:gridCol w:w="175"/>
        <w:gridCol w:w="558"/>
        <w:gridCol w:w="183"/>
        <w:gridCol w:w="817"/>
        <w:gridCol w:w="167"/>
        <w:gridCol w:w="1450"/>
        <w:gridCol w:w="1266"/>
        <w:gridCol w:w="384"/>
        <w:gridCol w:w="590"/>
        <w:gridCol w:w="1704"/>
      </w:tblGrid>
      <w:tr w:rsidR="0048726E">
        <w:trPr>
          <w:trHeight w:hRule="exact" w:val="567"/>
          <w:jc w:val="center"/>
        </w:trPr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注册号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质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监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责任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主体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人员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勘察单位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监理单位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防护设备厂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验收内容</w:t>
            </w: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□底板</w:t>
            </w:r>
            <w:r>
              <w:t>/</w:t>
            </w:r>
            <w:r>
              <w:rPr>
                <w:rFonts w:hint="eastAsia"/>
              </w:rPr>
              <w:t>□墙、顶板</w:t>
            </w:r>
            <w:r>
              <w:t>/</w:t>
            </w:r>
            <w:r>
              <w:rPr>
                <w:rFonts w:hint="eastAsia"/>
              </w:rPr>
              <w:t>□结构</w:t>
            </w:r>
            <w:r>
              <w:t>/</w:t>
            </w:r>
            <w:r>
              <w:rPr>
                <w:rFonts w:hint="eastAsia"/>
              </w:rPr>
              <w:t>□竣工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抽查部位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质监内容</w:t>
            </w:r>
          </w:p>
        </w:tc>
        <w:tc>
          <w:tcPr>
            <w:tcW w:w="2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施工单位自评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监理单位自评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执行标准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 w:rsidP="005D42C8">
            <w:pPr>
              <w:jc w:val="center"/>
            </w:pPr>
            <w:r>
              <w:t>RFJ01</w:t>
            </w:r>
            <w:r w:rsidR="005D42C8">
              <w:rPr>
                <w:rFonts w:hint="eastAsia"/>
              </w:rPr>
              <w:t>—</w:t>
            </w:r>
            <w:r>
              <w:t>2015</w:t>
            </w:r>
            <w:r>
              <w:rPr>
                <w:rFonts w:hint="eastAsia"/>
              </w:rPr>
              <w:t>等</w:t>
            </w:r>
          </w:p>
        </w:tc>
      </w:tr>
      <w:tr w:rsidR="0048726E">
        <w:trPr>
          <w:trHeight w:hRule="exact" w:val="56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验收程序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hRule="exact" w:val="56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组织形式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val="1661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工程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实体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质量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抽查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7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val="1544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E" w:rsidRDefault="0048726E"/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人防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资料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审查</w:t>
            </w:r>
          </w:p>
        </w:tc>
        <w:tc>
          <w:tcPr>
            <w:tcW w:w="7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</w:p>
        </w:tc>
      </w:tr>
      <w:tr w:rsidR="0048726E">
        <w:trPr>
          <w:trHeight w:val="11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48726E" w:rsidRDefault="0048726E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6E" w:rsidRDefault="0048726E">
            <w:pPr>
              <w:spacing w:line="340" w:lineRule="exact"/>
              <w:jc w:val="left"/>
            </w:pPr>
            <w:r>
              <w:rPr>
                <w:rFonts w:hint="eastAsia"/>
              </w:rPr>
              <w:t>□打勾项出具整改方案</w:t>
            </w:r>
            <w:r>
              <w:t>,</w:t>
            </w:r>
            <w:r>
              <w:rPr>
                <w:rFonts w:hint="eastAsia"/>
              </w:rPr>
              <w:t>并报人防工程质量监督服务机构审查</w:t>
            </w:r>
            <w:r>
              <w:t>,</w:t>
            </w:r>
            <w:r>
              <w:rPr>
                <w:rFonts w:hint="eastAsia"/>
              </w:rPr>
              <w:t>整改过程由监理单位负责监督</w:t>
            </w:r>
            <w:r>
              <w:t>,</w:t>
            </w:r>
            <w:r>
              <w:rPr>
                <w:rFonts w:hint="eastAsia"/>
              </w:rPr>
              <w:t>做好影像记录</w:t>
            </w:r>
            <w:r>
              <w:t>,</w:t>
            </w:r>
            <w:r>
              <w:rPr>
                <w:rFonts w:hint="eastAsia"/>
              </w:rPr>
              <w:t>并书面回复建设单位和人防工程质量监督服务机构；□发出整改通知单（编号：</w:t>
            </w:r>
            <w:r>
              <w:t xml:space="preserve">                </w:t>
            </w:r>
            <w:r>
              <w:rPr>
                <w:rFonts w:hint="eastAsia"/>
              </w:rPr>
              <w:t>），□发出停工通知单（编号：</w:t>
            </w:r>
            <w:r>
              <w:t xml:space="preserve">                </w:t>
            </w:r>
            <w:r>
              <w:rPr>
                <w:rFonts w:hint="eastAsia"/>
              </w:rPr>
              <w:t>）</w:t>
            </w:r>
          </w:p>
        </w:tc>
      </w:tr>
    </w:tbl>
    <w:p w:rsidR="0048726E" w:rsidRDefault="0048726E" w:rsidP="00916630">
      <w:pPr>
        <w:ind w:firstLineChars="200" w:firstLine="420"/>
        <w:rPr>
          <w:rFonts w:hint="eastAsia"/>
        </w:rPr>
      </w:pPr>
      <w:r>
        <w:rPr>
          <w:rFonts w:hint="eastAsia"/>
        </w:rPr>
        <w:t>注：本表一式两联，双方各持一联，由建设单位抄告设计、监理和施工等单位。</w:t>
      </w:r>
    </w:p>
    <w:sectPr w:rsidR="0048726E">
      <w:footerReference w:type="default" r:id="rId6"/>
      <w:pgSz w:w="11906" w:h="16838"/>
      <w:pgMar w:top="1967" w:right="1474" w:bottom="1899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E4" w:rsidRDefault="00C942E4">
      <w:r>
        <w:separator/>
      </w:r>
    </w:p>
  </w:endnote>
  <w:endnote w:type="continuationSeparator" w:id="1">
    <w:p w:rsidR="00C942E4" w:rsidRDefault="00C9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6E" w:rsidRDefault="0048726E">
    <w:pPr>
      <w:pStyle w:val="af1"/>
    </w:pPr>
    <w:r>
      <w:pict>
        <v:rect id="矩形 1" o:spid="_x0000_s2049" style="position:absolute;margin-left:-35.4pt;margin-top:-4.5pt;width:4.6pt;height:11pt;z-index:251657728;mso-wrap-style:none;mso-position-horizontal:outside;mso-position-horizontal-relative:margin" filled="f" stroked="f">
          <v:textbox style="mso-fit-shape-to-text:t" inset="0,0,0,0">
            <w:txbxContent>
              <w:p w:rsidR="0048726E" w:rsidRDefault="0048726E">
                <w:pPr>
                  <w:pStyle w:val="af1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16630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E4" w:rsidRDefault="00C942E4">
      <w:r>
        <w:separator/>
      </w:r>
    </w:p>
  </w:footnote>
  <w:footnote w:type="continuationSeparator" w:id="1">
    <w:p w:rsidR="00C942E4" w:rsidRDefault="00C94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6E6B652D"/>
    <w:rsid w:val="FDFCD798"/>
    <w:rsid w:val="0048726E"/>
    <w:rsid w:val="005D42C8"/>
    <w:rsid w:val="00916630"/>
    <w:rsid w:val="00C9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qFormat="1"/>
    <w:lsdException w:name="annotation reference" w:semiHidden="0" w:uiPriority="0" w:unhideWhenUsed="0"/>
    <w:lsdException w:name="page number" w:semiHidden="0" w:uiPriority="0" w:unhideWhenUsed="0"/>
    <w:lsdException w:name="Title" w:semiHidden="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/>
    <w:lsdException w:name="annotation subject" w:semiHidden="0" w:uiPriority="0" w:unhideWhenUsed="0"/>
    <w:lsdException w:name="Balloon Text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1Char">
    <w:name w:val="样式1 Char"/>
    <w:rPr>
      <w:rFonts w:ascii="方正小标宋_GBK" w:eastAsia="方正小标宋_GBK" w:hAnsi="华文中宋" w:cs="Times New Roman"/>
      <w:color w:val="FF0000"/>
      <w:w w:val="70"/>
      <w:sz w:val="104"/>
      <w:szCs w:val="104"/>
    </w:rPr>
  </w:style>
  <w:style w:type="character" w:customStyle="1" w:styleId="Char">
    <w:name w:val="批注主题 Char"/>
    <w:basedOn w:val="Char0"/>
    <w:rPr>
      <w:rFonts w:ascii="Calibri" w:hAnsi="Calibri"/>
      <w:b/>
    </w:rPr>
  </w:style>
  <w:style w:type="character" w:styleId="a3">
    <w:name w:val="Strong"/>
    <w:qFormat/>
    <w:rPr>
      <w:b/>
    </w:rPr>
  </w:style>
  <w:style w:type="character" w:customStyle="1" w:styleId="2Char">
    <w:name w:val="正文文本缩进 2 Char"/>
    <w:rPr>
      <w:rFonts w:ascii="Times New Roman" w:eastAsia="宋体" w:hAnsi="Times New Roman" w:cs="Times New Roman"/>
      <w:sz w:val="28"/>
    </w:rPr>
  </w:style>
  <w:style w:type="character" w:customStyle="1" w:styleId="Char1">
    <w:name w:val="批注框文本 Char"/>
    <w:rPr>
      <w:rFonts w:ascii="Calibri" w:eastAsia="宋体" w:hAnsi="Calibri"/>
      <w:sz w:val="18"/>
      <w:lang w:val="en-US" w:eastAsia="zh-CN"/>
    </w:rPr>
  </w:style>
  <w:style w:type="character" w:customStyle="1" w:styleId="3Char">
    <w:name w:val="正文文本缩进 3 Char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日期 Char"/>
    <w:rPr>
      <w:rFonts w:ascii="Times New Roman" w:eastAsia="宋体" w:hAnsi="Times New Roman" w:cs="Times New Roman"/>
    </w:rPr>
  </w:style>
  <w:style w:type="character" w:styleId="a4">
    <w:name w:val="annotation reference"/>
    <w:basedOn w:val="a0"/>
    <w:rPr>
      <w:sz w:val="21"/>
    </w:rPr>
  </w:style>
  <w:style w:type="character" w:styleId="a5">
    <w:name w:val="page number"/>
    <w:basedOn w:val="a0"/>
    <w:rPr>
      <w:rFonts w:ascii="Times New Roman" w:eastAsia="宋体" w:hAnsi="Times New Roman" w:cs="Times New Roman"/>
    </w:rPr>
  </w:style>
  <w:style w:type="character" w:customStyle="1" w:styleId="Char3">
    <w:name w:val="正文文本缩进 Char"/>
    <w:rPr>
      <w:rFonts w:ascii="Times New Roman" w:eastAsia="宋体" w:hAnsi="Times New Roman" w:cs="Times New Roman"/>
    </w:rPr>
  </w:style>
  <w:style w:type="character" w:customStyle="1" w:styleId="Char4">
    <w:name w:val="页脚 Char"/>
    <w:rPr>
      <w:rFonts w:ascii="Calibri" w:eastAsia="宋体" w:hAnsi="Calibri" w:cs="Times New Roman"/>
      <w:sz w:val="18"/>
      <w:lang w:val="en-US" w:eastAsia="zh-CN"/>
    </w:rPr>
  </w:style>
  <w:style w:type="character" w:customStyle="1" w:styleId="qowt-font2">
    <w:name w:val="qowt-font2"/>
    <w:basedOn w:val="a0"/>
  </w:style>
  <w:style w:type="character" w:customStyle="1" w:styleId="Char5">
    <w:name w:val="页眉 Char"/>
    <w:rPr>
      <w:rFonts w:ascii="Calibri" w:eastAsia="宋体" w:hAnsi="Calibri" w:cs="Times New Roman"/>
      <w:sz w:val="18"/>
      <w:lang w:val="en-US" w:eastAsia="zh-CN"/>
    </w:rPr>
  </w:style>
  <w:style w:type="character" w:customStyle="1" w:styleId="2Char0">
    <w:name w:val="样式2 Char"/>
    <w:rPr>
      <w:rFonts w:ascii="方正小标宋_GBK" w:eastAsia="方正小标宋_GBK" w:hAnsi="宋体" w:cs="Times New Roman"/>
      <w:spacing w:val="12"/>
      <w:sz w:val="32"/>
      <w:szCs w:val="32"/>
    </w:rPr>
  </w:style>
  <w:style w:type="character" w:customStyle="1" w:styleId="Char0">
    <w:name w:val="批注文字 Char"/>
    <w:basedOn w:val="a0"/>
    <w:rPr>
      <w:rFonts w:ascii="Calibri" w:hAnsi="Calibri"/>
      <w:kern w:val="2"/>
      <w:sz w:val="21"/>
    </w:rPr>
  </w:style>
  <w:style w:type="character" w:customStyle="1" w:styleId="Char6">
    <w:name w:val="纯文本 Char"/>
    <w:rPr>
      <w:rFonts w:ascii="宋体" w:eastAsia="宋体" w:hAnsi="Courier New" w:cs="Times New Roman"/>
      <w:szCs w:val="20"/>
    </w:rPr>
  </w:style>
  <w:style w:type="character" w:styleId="a6">
    <w:name w:val="Hyperlink"/>
    <w:rPr>
      <w:rFonts w:ascii="Times New Roman" w:eastAsia="宋体" w:hAnsi="Times New Roman" w:cs="Times New Roman"/>
      <w:strike w:val="0"/>
      <w:dstrike w:val="0"/>
      <w:color w:val="000000"/>
      <w:u w:val="none"/>
    </w:rPr>
  </w:style>
  <w:style w:type="character" w:styleId="a7">
    <w:name w:val="Emphasis"/>
    <w:qFormat/>
    <w:rPr>
      <w:rFonts w:ascii="Times New Roman" w:eastAsia="宋体" w:hAnsi="Times New Roman" w:cs="Times New Roman"/>
      <w:i/>
      <w:iCs/>
    </w:rPr>
  </w:style>
  <w:style w:type="paragraph" w:styleId="a8">
    <w:name w:val="Balloon Text"/>
    <w:basedOn w:val="a"/>
    <w:rPr>
      <w:sz w:val="18"/>
    </w:rPr>
  </w:style>
  <w:style w:type="paragraph" w:styleId="a9">
    <w:name w:val="Date"/>
    <w:basedOn w:val="a"/>
    <w:next w:val="a"/>
    <w:pPr>
      <w:ind w:leftChars="2500"/>
    </w:pPr>
    <w:rPr>
      <w:rFonts w:ascii="Times New Roman" w:hAnsi="Times New Roman"/>
      <w:szCs w:val="24"/>
    </w:rPr>
  </w:style>
  <w:style w:type="paragraph" w:customStyle="1" w:styleId="ListParagraph">
    <w:name w:val="List Paragraph"/>
    <w:basedOn w:val="a"/>
    <w:pPr>
      <w:ind w:firstLineChars="200"/>
    </w:pPr>
    <w:rPr>
      <w:rFonts w:ascii="Times New Roman" w:hAnsi="Times New Roman"/>
      <w:szCs w:val="24"/>
    </w:rPr>
  </w:style>
  <w:style w:type="paragraph" w:customStyle="1" w:styleId="10">
    <w:name w:val="样式1"/>
    <w:basedOn w:val="a"/>
    <w:pPr>
      <w:spacing w:line="1200" w:lineRule="exact"/>
      <w:jc w:val="center"/>
    </w:pPr>
    <w:rPr>
      <w:rFonts w:ascii="方正小标宋_GBK" w:eastAsia="方正小标宋_GBK" w:hAnsi="华文中宋"/>
      <w:color w:val="FF0000"/>
      <w:w w:val="70"/>
      <w:sz w:val="104"/>
      <w:szCs w:val="104"/>
    </w:rPr>
  </w:style>
  <w:style w:type="paragraph" w:customStyle="1" w:styleId="Bodytext1">
    <w:name w:val="Body text|1"/>
    <w:basedOn w:val="a"/>
    <w:pPr>
      <w:spacing w:line="444" w:lineRule="auto"/>
      <w:ind w:firstLine="400"/>
    </w:pPr>
    <w:rPr>
      <w:rFonts w:ascii="宋体" w:hAnsi="宋体"/>
      <w:sz w:val="22"/>
    </w:rPr>
  </w:style>
  <w:style w:type="paragraph" w:styleId="aa">
    <w:name w:val="Plain Text"/>
    <w:basedOn w:val="a"/>
    <w:rPr>
      <w:rFonts w:ascii="宋体" w:hAnsi="Courier New"/>
    </w:rPr>
  </w:style>
  <w:style w:type="paragraph" w:customStyle="1" w:styleId="pa-1">
    <w:name w:val="pa-1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样式2"/>
    <w:basedOn w:val="a"/>
    <w:pPr>
      <w:tabs>
        <w:tab w:val="left" w:pos="8460"/>
        <w:tab w:val="left" w:pos="8640"/>
      </w:tabs>
      <w:spacing w:line="480" w:lineRule="exact"/>
      <w:jc w:val="center"/>
    </w:pPr>
    <w:rPr>
      <w:rFonts w:ascii="方正小标宋_GBK" w:eastAsia="方正小标宋_GBK" w:hAnsi="宋体"/>
      <w:spacing w:val="12"/>
      <w:sz w:val="32"/>
      <w:szCs w:val="32"/>
    </w:rPr>
  </w:style>
  <w:style w:type="paragraph" w:styleId="ab">
    <w:name w:val="Normal Indent"/>
    <w:basedOn w:val="a"/>
    <w:next w:val="a"/>
    <w:pPr>
      <w:spacing w:line="300" w:lineRule="auto"/>
      <w:ind w:firstLineChars="200"/>
    </w:pPr>
    <w:rPr>
      <w:rFonts w:ascii="Times New Roman" w:hAnsi="Times New Roman"/>
    </w:rPr>
  </w:style>
  <w:style w:type="paragraph" w:styleId="ac">
    <w:name w:val="Body Text"/>
    <w:basedOn w:val="a"/>
    <w:pPr>
      <w:jc w:val="center"/>
    </w:pPr>
    <w:rPr>
      <w:rFonts w:ascii="黑体" w:eastAsia="黑体" w:hAnsi="Times New Roman"/>
      <w:b/>
      <w:sz w:val="36"/>
      <w:szCs w:val="44"/>
    </w:rPr>
  </w:style>
  <w:style w:type="paragraph" w:styleId="20">
    <w:name w:val="Body Text Indent 2"/>
    <w:basedOn w:val="a"/>
    <w:pPr>
      <w:ind w:firstLineChars="200"/>
    </w:pPr>
    <w:rPr>
      <w:rFonts w:ascii="Times New Roman" w:hAnsi="Times New Roman"/>
      <w:sz w:val="28"/>
      <w:szCs w:val="24"/>
    </w:rPr>
  </w:style>
  <w:style w:type="paragraph" w:styleId="ad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Char10">
    <w:name w:val=" Char1"/>
    <w:basedOn w:val="a"/>
    <w:rPr>
      <w:rFonts w:ascii="仿宋_GB2312" w:eastAsia="仿宋_GB2312" w:hAnsi="Times New Roman"/>
      <w:b/>
      <w:sz w:val="32"/>
      <w:szCs w:val="32"/>
    </w:rPr>
  </w:style>
  <w:style w:type="paragraph" w:styleId="ae">
    <w:name w:val="annotation subject"/>
    <w:basedOn w:val="af"/>
    <w:next w:val="af"/>
    <w:rPr>
      <w:b/>
    </w:rPr>
  </w:style>
  <w:style w:type="paragraph" w:styleId="af0">
    <w:name w:val="Body Text Indent"/>
    <w:basedOn w:val="a"/>
    <w:pPr>
      <w:spacing w:after="120"/>
      <w:ind w:leftChars="200"/>
    </w:pPr>
    <w:rPr>
      <w:rFonts w:ascii="Times New Roman" w:hAnsi="Times New Roman"/>
      <w:szCs w:val="24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11">
    <w:name w:val="Char1"/>
    <w:basedOn w:val="a"/>
    <w:rPr>
      <w:rFonts w:ascii="仿宋_GB2312" w:eastAsia="仿宋_GB2312" w:hAnsi="Times New Roman"/>
      <w:b/>
      <w:sz w:val="32"/>
      <w:szCs w:val="32"/>
    </w:rPr>
  </w:style>
  <w:style w:type="paragraph" w:styleId="af">
    <w:name w:val="annotation text"/>
    <w:basedOn w:val="a"/>
    <w:pPr>
      <w:jc w:val="left"/>
    </w:pPr>
  </w:style>
  <w:style w:type="paragraph" w:customStyle="1" w:styleId="rf">
    <w:name w:val="rf"/>
    <w:basedOn w:val="a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Char7">
    <w:name w:val="Char"/>
    <w:basedOn w:val="a"/>
    <w:rPr>
      <w:rFonts w:ascii="Tahoma" w:hAnsi="Tahoma"/>
      <w:sz w:val="24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styleId="3">
    <w:name w:val="Body Text Indent 3"/>
    <w:basedOn w:val="a"/>
    <w:pPr>
      <w:spacing w:after="120"/>
      <w:ind w:leftChars="200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Lenovo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ZJAC41-2021-0001</dc:title>
  <dc:creator>user</dc:creator>
  <cp:lastModifiedBy>lenovo</cp:lastModifiedBy>
  <cp:revision>2</cp:revision>
  <dcterms:created xsi:type="dcterms:W3CDTF">2021-07-07T08:44:00Z</dcterms:created>
  <dcterms:modified xsi:type="dcterms:W3CDTF">2021-07-07T08:44:00Z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