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杭州市民生计量信用评价标准（试行）</w:t>
      </w:r>
    </w:p>
    <w:tbl>
      <w:tblPr>
        <w:tblStyle w:val="7"/>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67"/>
        <w:gridCol w:w="712"/>
        <w:gridCol w:w="9586"/>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tblHeader/>
          <w:jc w:val="center"/>
        </w:trPr>
        <w:tc>
          <w:tcPr>
            <w:tcW w:w="1067" w:type="dxa"/>
            <w:vAlign w:val="center"/>
          </w:tcPr>
          <w:p>
            <w:pPr>
              <w:spacing w:line="240" w:lineRule="exact"/>
              <w:jc w:val="center"/>
              <w:rPr>
                <w:szCs w:val="21"/>
              </w:rPr>
            </w:pPr>
            <w:r>
              <w:rPr>
                <w:rFonts w:hint="eastAsia"/>
                <w:szCs w:val="21"/>
              </w:rPr>
              <w:t>类别</w:t>
            </w:r>
          </w:p>
        </w:tc>
        <w:tc>
          <w:tcPr>
            <w:tcW w:w="712" w:type="dxa"/>
            <w:vAlign w:val="center"/>
          </w:tcPr>
          <w:p>
            <w:pPr>
              <w:spacing w:line="240" w:lineRule="exact"/>
              <w:jc w:val="center"/>
              <w:rPr>
                <w:szCs w:val="21"/>
              </w:rPr>
            </w:pPr>
            <w:r>
              <w:rPr>
                <w:rFonts w:hint="eastAsia"/>
                <w:szCs w:val="21"/>
              </w:rPr>
              <w:t>项目</w:t>
            </w:r>
          </w:p>
        </w:tc>
        <w:tc>
          <w:tcPr>
            <w:tcW w:w="9586" w:type="dxa"/>
            <w:vAlign w:val="center"/>
          </w:tcPr>
          <w:p>
            <w:pPr>
              <w:spacing w:line="240" w:lineRule="exact"/>
              <w:jc w:val="center"/>
              <w:rPr>
                <w:szCs w:val="21"/>
              </w:rPr>
            </w:pPr>
            <w:r>
              <w:rPr>
                <w:rFonts w:hint="eastAsia"/>
                <w:szCs w:val="21"/>
              </w:rPr>
              <w:t>评价内容</w:t>
            </w:r>
          </w:p>
        </w:tc>
        <w:tc>
          <w:tcPr>
            <w:tcW w:w="2241" w:type="dxa"/>
            <w:vAlign w:val="center"/>
          </w:tcPr>
          <w:p>
            <w:pPr>
              <w:spacing w:line="240" w:lineRule="exact"/>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加分</w:t>
            </w:r>
          </w:p>
        </w:tc>
        <w:tc>
          <w:tcPr>
            <w:tcW w:w="712" w:type="dxa"/>
            <w:vMerge w:val="restart"/>
            <w:vAlign w:val="center"/>
          </w:tcPr>
          <w:p>
            <w:pPr>
              <w:spacing w:line="240" w:lineRule="exact"/>
              <w:jc w:val="center"/>
              <w:rPr>
                <w:rFonts w:hint="eastAsia" w:asciiTheme="minorEastAsia" w:hAnsiTheme="minorEastAsia" w:cstheme="minorEastAsia"/>
                <w:sz w:val="21"/>
                <w:szCs w:val="21"/>
                <w:lang w:val="en" w:eastAsia="zh-CN"/>
              </w:rPr>
            </w:pPr>
            <w:r>
              <w:rPr>
                <w:rFonts w:hint="eastAsia" w:asciiTheme="minorEastAsia" w:hAnsiTheme="minorEastAsia" w:cstheme="minorEastAsia"/>
                <w:sz w:val="21"/>
                <w:szCs w:val="21"/>
                <w:lang w:val="en" w:eastAsia="zh-CN"/>
              </w:rPr>
              <w:t>守信</w:t>
            </w:r>
          </w:p>
          <w:p>
            <w:pPr>
              <w:spacing w:line="240" w:lineRule="exact"/>
              <w:jc w:val="center"/>
              <w:rPr>
                <w:rFonts w:hint="eastAsia" w:asciiTheme="minorEastAsia" w:hAnsiTheme="minorEastAsia" w:eastAsiaTheme="minorEastAsia" w:cstheme="minorEastAsia"/>
                <w:sz w:val="21"/>
                <w:szCs w:val="21"/>
                <w:lang w:val="en" w:eastAsia="zh-CN"/>
              </w:rPr>
            </w:pPr>
            <w:r>
              <w:rPr>
                <w:rFonts w:hint="eastAsia" w:asciiTheme="minorEastAsia" w:hAnsiTheme="minorEastAsia" w:cstheme="minorEastAsia"/>
                <w:sz w:val="21"/>
                <w:szCs w:val="21"/>
                <w:lang w:val="en" w:eastAsia="zh-CN"/>
              </w:rPr>
              <w:t>激励</w:t>
            </w:r>
          </w:p>
        </w:tc>
        <w:tc>
          <w:tcPr>
            <w:tcW w:w="9586" w:type="dxa"/>
            <w:vAlign w:val="center"/>
          </w:tcPr>
          <w:p>
            <w:pPr>
              <w:spacing w:line="24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对计量器具数量小于等于20台件的企业，杭州市民生计量公共服务平台3个月未出现红色警示</w:t>
            </w:r>
          </w:p>
        </w:tc>
        <w:tc>
          <w:tcPr>
            <w:tcW w:w="2241"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对计量器具数量小于等于20台件的企业，杭州市民生计量公共服务平台6个月未出现红色警示</w:t>
            </w:r>
          </w:p>
        </w:tc>
        <w:tc>
          <w:tcPr>
            <w:tcW w:w="2241"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p>
        </w:tc>
        <w:tc>
          <w:tcPr>
            <w:tcW w:w="9586" w:type="dxa"/>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杭州市民生计量公共服务平台1年未出现红色警示</w:t>
            </w:r>
          </w:p>
        </w:tc>
        <w:tc>
          <w:tcPr>
            <w:tcW w:w="2241" w:type="dxa"/>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default" w:asciiTheme="minorEastAsia" w:hAnsiTheme="minorEastAsia" w:cstheme="minorEastAsia"/>
                <w:sz w:val="21"/>
                <w:szCs w:val="21"/>
                <w:lang w:val="en"/>
              </w:rPr>
              <w:t>3</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因计量工作突出，受到县级及以上人民政府和有关部门的表彰、奖励</w:t>
            </w:r>
          </w:p>
        </w:tc>
        <w:tc>
          <w:tcPr>
            <w:tcW w:w="2241"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县级2分，市级4分，省级6分，国家级8分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开展诚信计量自我承诺</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法定代表人通过杭州市民生计量公共服务平台学习计量法律法规并通过相应考试</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不超过3分/年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参加计量公益服务活动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通过测量管理体系认证、CNAS校准实验室认可</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参加起草计量检定规程、计量技术规范</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主要起草单位2分、参加起草单位1分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计量技术比武活动中获得前三名的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分别加3分、2分、1分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计量器具使用</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杭州市民生计量公共服务平台出色红色警示，3天内未及时处理的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杭州市民生计量公共服务平台出现红色警示，6天内未及时处理的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杭州市民生计量公共服务平台出现红色警示，9天内未及时处理的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杭州市民生计量公共服务平台出现红色警示，9天后未及时处理的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属于强制检定的工作计量器具，未按照规定申请检定或超过检定周期而继续使用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属于强制检定的工作计量器具，经检定不合格而继续使用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使用不合格的计量器具给国家或消费者造成损失 </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使用以欺骗消费者为目的的计量器具或者破坏计量器具准确度、伪造数据，给国家或消费者造成损失</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使用以欺骗消费者为目的的计量器具或者破坏计量器具准确度、伪造数据，给国家或消费者造成损失，构成犯罪的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破坏计量器具检定封签（印）或者防作弊装置</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伪造、盗用、倒卖检定印、证</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伪造、盗用、倒卖检定印、证，构成犯罪的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供水、供电、供气单位未按照规定期限更换计量器具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集贸市场主办者未设置符合要求的公平秤</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加油站使用的燃油加油机无出厂产品合格证书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眼镜镜片、角膜接触镜、成品眼镜生产者未配备与生产相适应的顶焦度等计量检测设备</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眼镜镜片、角膜接触镜、成品眼镜销售者以及从事配镜验光、定配眼镜、角膜接触镜配戴的经营者未建立进出货物计量检测验收制度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眼镜镜片、角膜接触镜、成品眼镜销售者以及从事配镜验光、定配眼镜、角膜接触镜配戴的经营者未配备与销售、经营业务相适应的验光、瞳距等计量检测设备</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从事角膜接触镜配戴的经营者未配备与经营业务相适应的眼科计量检测设备</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眼镜镜片、角膜接触镜、成品眼镜生产者、销售者以及从事配镜验光、定配眼镜、角膜接触镜配戴的经营者出具的眼镜产品计量数据不准确</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制造、修理计量器具</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未经批准制造国务院规定废除的非法定计量单位的计量器具和国务院禁止使用的其他计量器具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制造、销售未经型式批准的计量器具新产品</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制造已取得型式批准的计量器具，擅自改变产品结构、关键零部件等，导致原批准的型式发生变更</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制造、修理的计量器具未经出厂检定或经检定不合格而出厂</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制造、修理、销售以欺骗消费者为目的的计量器具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制造、修理、销售以欺骗消费者为目的的计量器具，构成犯罪的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销售超过有效期的标准物质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经营销售残次计量器具零配件，使用残次计量器具零配件组装、修理计量器具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标准</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企、事业单位和有关部门的最高计量标准，未经计量主管部门考核合格开展计量检定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建标单位每项计量标准未配备至少2名符合要求的检定或校准人员</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建标单位每项计量标准未建立计量标准文件集并规范管理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建标单位未按照要求开展计量标准的重复性试验及稳定性考核</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建标单位计量标准的溯源性不符合要求，计量标准器及主要配套设备无连续、有效的检定或校准证书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建标单位环境条件及设施不满足开展检定或校准工作的要求，未按照要求对环境条件进行有效监测和控制</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证书无相应的原始记录</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建标单位计量标准考核证书有效期满，未经原发证机关复查合格而继续开展工作</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无故不参加计量比对或参加计量比对，结论为不满意的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校准</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机构</w:t>
            </w: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计量校准机构未按照规定向计量主管部门备案</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计量校准机构未建立相关计量标准或者相关计量标准未经考核合格用于计量校准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计量校准机构不按照计量校准规范进行计量校准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计量校准机构超出计量标准考核范围开展计量校准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计量校准机构对实行强制检定的计量器具开展计量校准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计量校准机构</w:t>
            </w:r>
            <w:r>
              <w:rPr>
                <w:rFonts w:hint="eastAsia" w:asciiTheme="minorEastAsia" w:hAnsiTheme="minorEastAsia" w:eastAsiaTheme="minorEastAsia" w:cstheme="minorEastAsia"/>
                <w:sz w:val="21"/>
                <w:szCs w:val="21"/>
              </w:rPr>
              <w:t>伪造、盗用、倒卖、出借、转让有关计量证书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在本省行政区域内设立的代表处、办事处等机构开展计量校准或者以计量校准机构的名义出具计量校准报告</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检定</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机构</w:t>
            </w: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未经计量主管部门授权，擅自从事计量器具强制检定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法定计量检定机构</w:t>
            </w:r>
            <w:r>
              <w:rPr>
                <w:rFonts w:hint="eastAsia" w:asciiTheme="minorEastAsia" w:hAnsiTheme="minorEastAsia" w:eastAsiaTheme="minorEastAsia" w:cstheme="minorEastAsia"/>
                <w:kern w:val="0"/>
                <w:sz w:val="21"/>
                <w:szCs w:val="21"/>
              </w:rPr>
              <w:t>超出授权范围开展强制检定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法定计量检定机构</w:t>
            </w:r>
            <w:r>
              <w:rPr>
                <w:rFonts w:hint="eastAsia" w:asciiTheme="minorEastAsia" w:hAnsiTheme="minorEastAsia" w:eastAsiaTheme="minorEastAsia" w:cstheme="minorEastAsia"/>
                <w:kern w:val="0"/>
                <w:sz w:val="21"/>
                <w:szCs w:val="21"/>
              </w:rPr>
              <w:t>违反计量检定规程进行计量检定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法定计量检定机构</w:t>
            </w:r>
            <w:r>
              <w:rPr>
                <w:rFonts w:hint="eastAsia" w:asciiTheme="minorEastAsia" w:hAnsiTheme="minorEastAsia" w:eastAsiaTheme="minorEastAsia" w:cstheme="minorEastAsia"/>
                <w:kern w:val="0"/>
                <w:sz w:val="21"/>
                <w:szCs w:val="21"/>
              </w:rPr>
              <w:t>伪造检定数据</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法定计量检定机构</w:t>
            </w:r>
            <w:r>
              <w:rPr>
                <w:rFonts w:hint="eastAsia" w:asciiTheme="minorEastAsia" w:hAnsiTheme="minorEastAsia" w:eastAsiaTheme="minorEastAsia" w:cstheme="minorEastAsia"/>
                <w:kern w:val="0"/>
                <w:sz w:val="21"/>
                <w:szCs w:val="21"/>
              </w:rPr>
              <w:t>未经授权机关批准，擅自终止所承担的授权工作</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widowControl/>
              <w:spacing w:line="240" w:lineRule="exac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法定计量检定机构被授权项目经检查达不到原考核条件</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计量</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使用</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非出版物使用非法定计量单位</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出版物使用非法定计量单位</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商品量</w:t>
            </w:r>
          </w:p>
        </w:tc>
        <w:tc>
          <w:tcPr>
            <w:tcW w:w="9586" w:type="dxa"/>
            <w:vAlign w:val="center"/>
          </w:tcPr>
          <w:p>
            <w:pPr>
              <w:spacing w:line="24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生产者生产定量包装商品，其实际量与标注量不相符，计量偏差超过《定量包装商品计量监督管理办法》或者国家其</w:t>
            </w:r>
            <w:r>
              <w:rPr>
                <w:rFonts w:hint="eastAsia" w:asciiTheme="minorEastAsia" w:hAnsiTheme="minorEastAsia" w:cstheme="minorEastAsia"/>
                <w:sz w:val="21"/>
                <w:szCs w:val="21"/>
                <w:lang w:eastAsia="zh-CN"/>
              </w:rPr>
              <w:t>他</w:t>
            </w:r>
            <w:r>
              <w:rPr>
                <w:rFonts w:hint="eastAsia" w:asciiTheme="minorEastAsia" w:hAnsiTheme="minorEastAsia" w:eastAsiaTheme="minorEastAsia" w:cstheme="minorEastAsia"/>
                <w:sz w:val="21"/>
                <w:szCs w:val="21"/>
              </w:rPr>
              <w:t>有关规定</w:t>
            </w:r>
            <w:r>
              <w:rPr>
                <w:rFonts w:hint="eastAsia" w:asciiTheme="minorEastAsia" w:hAnsiTheme="minorEastAsia" w:cstheme="minorEastAsia"/>
                <w:sz w:val="21"/>
                <w:szCs w:val="21"/>
                <w:lang w:eastAsia="zh-CN"/>
              </w:rPr>
              <w:t>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5"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销售者销售的定量包装商品或者零售商品，其实际量与标注量或者实际量与贸易结算量不相符，计量偏差超过《定量包装商品计量监督管理办法》《零售商品称重计量监督管理办法》或者国家其</w:t>
            </w:r>
            <w:r>
              <w:rPr>
                <w:rFonts w:hint="eastAsia" w:asciiTheme="minorEastAsia" w:hAnsiTheme="minorEastAsia" w:cstheme="minorEastAsia"/>
                <w:sz w:val="21"/>
                <w:szCs w:val="21"/>
                <w:lang w:eastAsia="zh-CN"/>
              </w:rPr>
              <w:t>他</w:t>
            </w:r>
            <w:r>
              <w:rPr>
                <w:rFonts w:hint="eastAsia" w:asciiTheme="minorEastAsia" w:hAnsiTheme="minorEastAsia" w:eastAsiaTheme="minorEastAsia" w:cstheme="minorEastAsia"/>
                <w:sz w:val="21"/>
                <w:szCs w:val="21"/>
              </w:rPr>
              <w:t>有关规定的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销售者销售国家对计量偏差没有规定的商品，其实际量与贸易结算量之差，超过国家规定使用的计量器具极限误差的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收购者收购商品，其实际量与贸易结算量之差，超过国家规定使用的计量器具极限误差的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生产、销售定量包装商品违反《定量包装商品计量监督管理办法》规定，未正确、清晰地标注净含量</w:t>
            </w:r>
            <w:r>
              <w:rPr>
                <w:rFonts w:hint="eastAsia" w:asciiTheme="minorEastAsia" w:hAnsiTheme="minorEastAsia" w:cstheme="minorEastAsia"/>
                <w:sz w:val="21"/>
                <w:szCs w:val="21"/>
                <w:lang w:eastAsia="zh-CN"/>
              </w:rPr>
              <w:t>的</w:t>
            </w:r>
            <w:r>
              <w:rPr>
                <w:rFonts w:hint="eastAsia" w:asciiTheme="minorEastAsia" w:hAnsiTheme="minorEastAsia" w:eastAsiaTheme="minorEastAsia" w:cstheme="minorEastAsia"/>
                <w:sz w:val="21"/>
                <w:szCs w:val="21"/>
              </w:rPr>
              <w:t xml:space="preserve"> </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定量包装商品生产者未经备案，擅自使用计量保证能力合格标志 </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使用计量保证能力合格标志的生产者，违反《定量包装商品生产企业计量保证能力评价规范》要求</w:t>
            </w:r>
            <w:r>
              <w:rPr>
                <w:rFonts w:hint="eastAsia" w:asciiTheme="minorEastAsia" w:hAnsiTheme="minorEastAsia" w:cstheme="minorEastAsia"/>
                <w:sz w:val="21"/>
                <w:szCs w:val="21"/>
                <w:lang w:eastAsia="zh-CN"/>
              </w:rPr>
              <w:t>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能效</w:t>
            </w:r>
          </w:p>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标识</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生产、进口、销售不符合能源效率强制性国家标准的用能产品</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应当标注能源效率标识而未标注的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未办理能源效率标识备案，或者使用的能源效率标识不符合规定的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伪造、冒用能源效率标识或者利用能源效率标识进行虚假宣传的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水效标识</w:t>
            </w: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生产者或者进口商应当标注水效标识而未标注</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生产者或者进口商使用不符合规定的水效标识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生产者或者进口商伪造、冒用水效标识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销售者(含网络商品经营者)销售应当标注但未标注水效标识的产品</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rPr>
              <w:t>销售者(含网络商品经营者)销售使用不符合规定的水效标识的产品，在网络交易产品信息主页面展示的水效标识不符合规定</w:t>
            </w:r>
            <w:r>
              <w:rPr>
                <w:rFonts w:hint="eastAsia" w:asciiTheme="minorEastAsia" w:hAnsiTheme="minorEastAsia" w:eastAsiaTheme="minorEastAsia" w:cstheme="minorEastAsia"/>
                <w:kern w:val="2"/>
                <w:sz w:val="21"/>
                <w:szCs w:val="21"/>
                <w:lang w:eastAsia="zh-CN"/>
              </w:rPr>
              <w:t>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pStyle w:val="5"/>
              <w:shd w:val="clear" w:color="auto" w:fill="FFFFFF"/>
              <w:spacing w:before="0" w:beforeAutospacing="0" w:after="0" w:afterAutospacing="0" w:line="240" w:lineRule="exact"/>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销售者(含网络商品经营者)伪造、冒用水效标识</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能源计量</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用能单位未按照规定配备、使用能源计量器具</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重点用能单位未按照规定配备能源计量工作人员或者能源计量工作人员未接受能源计量专业知识培训的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拒绝、阻碍能源计量监督检查</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Merge w:val="restart"/>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行政许可</w:t>
            </w:r>
          </w:p>
        </w:tc>
        <w:tc>
          <w:tcPr>
            <w:tcW w:w="9586" w:type="dxa"/>
            <w:vAlign w:val="center"/>
          </w:tcPr>
          <w:p>
            <w:pPr>
              <w:autoSpaceDE w:val="0"/>
              <w:autoSpaceDN w:val="0"/>
              <w:adjustRightIn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通过告知承诺取得计量行政许可，作出虚假承诺或者承诺内容严重不实，被依法撤销许可决定</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以欺骗、贿赂等不正当手段取得行政许可</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行政监管</w:t>
            </w: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违反计量法律法规，经司法生效判决认定构成犯罪的</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不履行行政决定而被依法行政强制执行</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1067"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减分</w:t>
            </w:r>
          </w:p>
        </w:tc>
        <w:tc>
          <w:tcPr>
            <w:tcW w:w="712"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9586"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不履行判决、裁定等生效法律文书</w:t>
            </w:r>
          </w:p>
        </w:tc>
        <w:tc>
          <w:tcPr>
            <w:tcW w:w="2241"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r>
    </w:tbl>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b w:val="0"/>
          <w:bCs/>
          <w:sz w:val="32"/>
          <w:szCs w:val="32"/>
          <w:lang w:eastAsia="zh-CN"/>
        </w:rPr>
      </w:pPr>
      <w:r>
        <w:rPr>
          <w:rFonts w:hint="eastAsia"/>
          <w:b w:val="0"/>
          <w:bCs/>
          <w:sz w:val="32"/>
          <w:szCs w:val="32"/>
        </w:rPr>
        <w:t>说明：同一信用主体同一行为符合多条加减分项目，按照就高原则加减分，不重复计算。</w:t>
      </w:r>
      <w:bookmarkStart w:id="0" w:name="_GoBack"/>
      <w:bookmarkEnd w:id="0"/>
      <w:r>
        <w:rPr>
          <w:rFonts w:hint="eastAsia"/>
          <w:b w:val="0"/>
          <w:bCs/>
          <w:sz w:val="32"/>
          <w:szCs w:val="32"/>
          <w:lang w:eastAsia="zh-CN"/>
        </w:rPr>
        <w:t>以上减分事项，均经依法认定。</w:t>
      </w:r>
    </w:p>
    <w:sectPr>
      <w:pgSz w:w="16838" w:h="11906" w:orient="landscape"/>
      <w:pgMar w:top="1134" w:right="1701" w:bottom="113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7CE8"/>
    <w:rsid w:val="00002A12"/>
    <w:rsid w:val="000052B8"/>
    <w:rsid w:val="000072B1"/>
    <w:rsid w:val="000116D5"/>
    <w:rsid w:val="00013796"/>
    <w:rsid w:val="000141F7"/>
    <w:rsid w:val="00014819"/>
    <w:rsid w:val="0001729C"/>
    <w:rsid w:val="0002003A"/>
    <w:rsid w:val="00020ED6"/>
    <w:rsid w:val="00021FFA"/>
    <w:rsid w:val="00022C33"/>
    <w:rsid w:val="000238A2"/>
    <w:rsid w:val="00025FF8"/>
    <w:rsid w:val="00027DEC"/>
    <w:rsid w:val="00031609"/>
    <w:rsid w:val="000328A7"/>
    <w:rsid w:val="00035C31"/>
    <w:rsid w:val="00040794"/>
    <w:rsid w:val="00041B83"/>
    <w:rsid w:val="000547A5"/>
    <w:rsid w:val="00060858"/>
    <w:rsid w:val="000641E7"/>
    <w:rsid w:val="00064E66"/>
    <w:rsid w:val="000653A5"/>
    <w:rsid w:val="00066E7E"/>
    <w:rsid w:val="00066F67"/>
    <w:rsid w:val="00070172"/>
    <w:rsid w:val="00070852"/>
    <w:rsid w:val="00070985"/>
    <w:rsid w:val="000753FB"/>
    <w:rsid w:val="000759FB"/>
    <w:rsid w:val="00076E2A"/>
    <w:rsid w:val="00077C91"/>
    <w:rsid w:val="000923DC"/>
    <w:rsid w:val="0009425C"/>
    <w:rsid w:val="000A390F"/>
    <w:rsid w:val="000A4ECA"/>
    <w:rsid w:val="000B02DF"/>
    <w:rsid w:val="000B0E04"/>
    <w:rsid w:val="000B3A92"/>
    <w:rsid w:val="000B7210"/>
    <w:rsid w:val="000B7F3E"/>
    <w:rsid w:val="000C047B"/>
    <w:rsid w:val="000C1A82"/>
    <w:rsid w:val="000C32A5"/>
    <w:rsid w:val="000D0903"/>
    <w:rsid w:val="000D09CF"/>
    <w:rsid w:val="000D5A0B"/>
    <w:rsid w:val="000D66FD"/>
    <w:rsid w:val="000E1C1C"/>
    <w:rsid w:val="000E292E"/>
    <w:rsid w:val="000E550F"/>
    <w:rsid w:val="000E615D"/>
    <w:rsid w:val="000E6EC7"/>
    <w:rsid w:val="000E71F9"/>
    <w:rsid w:val="000E743B"/>
    <w:rsid w:val="000F1B88"/>
    <w:rsid w:val="000F1D3B"/>
    <w:rsid w:val="000F459C"/>
    <w:rsid w:val="00102A51"/>
    <w:rsid w:val="0010411A"/>
    <w:rsid w:val="001106D6"/>
    <w:rsid w:val="00112C01"/>
    <w:rsid w:val="001158D0"/>
    <w:rsid w:val="00123F93"/>
    <w:rsid w:val="00130927"/>
    <w:rsid w:val="00131828"/>
    <w:rsid w:val="00133039"/>
    <w:rsid w:val="0013332B"/>
    <w:rsid w:val="00134509"/>
    <w:rsid w:val="00137788"/>
    <w:rsid w:val="001412B6"/>
    <w:rsid w:val="00142429"/>
    <w:rsid w:val="00143FC1"/>
    <w:rsid w:val="001459C1"/>
    <w:rsid w:val="00150F0B"/>
    <w:rsid w:val="001527E4"/>
    <w:rsid w:val="00157FA4"/>
    <w:rsid w:val="00164723"/>
    <w:rsid w:val="00165686"/>
    <w:rsid w:val="001678EE"/>
    <w:rsid w:val="001719A5"/>
    <w:rsid w:val="001724F4"/>
    <w:rsid w:val="00176985"/>
    <w:rsid w:val="001811C8"/>
    <w:rsid w:val="00182A3F"/>
    <w:rsid w:val="0019569A"/>
    <w:rsid w:val="001958D7"/>
    <w:rsid w:val="00196473"/>
    <w:rsid w:val="00196B7A"/>
    <w:rsid w:val="001A15B5"/>
    <w:rsid w:val="001A65AE"/>
    <w:rsid w:val="001A6A45"/>
    <w:rsid w:val="001A72CB"/>
    <w:rsid w:val="001B1A7D"/>
    <w:rsid w:val="001B7AA7"/>
    <w:rsid w:val="001B7B75"/>
    <w:rsid w:val="001B7C8D"/>
    <w:rsid w:val="001B7D79"/>
    <w:rsid w:val="001C2B59"/>
    <w:rsid w:val="001C3860"/>
    <w:rsid w:val="001C395A"/>
    <w:rsid w:val="001C52CD"/>
    <w:rsid w:val="001C71D9"/>
    <w:rsid w:val="001C78B7"/>
    <w:rsid w:val="001C7F54"/>
    <w:rsid w:val="001D1F98"/>
    <w:rsid w:val="001D3D0F"/>
    <w:rsid w:val="001D4166"/>
    <w:rsid w:val="001D50E5"/>
    <w:rsid w:val="001E045F"/>
    <w:rsid w:val="001E0541"/>
    <w:rsid w:val="001E22E9"/>
    <w:rsid w:val="001E3056"/>
    <w:rsid w:val="001E3A59"/>
    <w:rsid w:val="001F0971"/>
    <w:rsid w:val="001F0B97"/>
    <w:rsid w:val="001F3877"/>
    <w:rsid w:val="001F4265"/>
    <w:rsid w:val="001F4779"/>
    <w:rsid w:val="001F61D9"/>
    <w:rsid w:val="001F7E8D"/>
    <w:rsid w:val="0020074D"/>
    <w:rsid w:val="0020495F"/>
    <w:rsid w:val="00204C24"/>
    <w:rsid w:val="002053CE"/>
    <w:rsid w:val="00207C0B"/>
    <w:rsid w:val="00210389"/>
    <w:rsid w:val="00211EA4"/>
    <w:rsid w:val="0021780B"/>
    <w:rsid w:val="00223AC6"/>
    <w:rsid w:val="002245FD"/>
    <w:rsid w:val="0023059A"/>
    <w:rsid w:val="002319AE"/>
    <w:rsid w:val="002332FE"/>
    <w:rsid w:val="00233D66"/>
    <w:rsid w:val="002354DC"/>
    <w:rsid w:val="002363D1"/>
    <w:rsid w:val="00236D0C"/>
    <w:rsid w:val="00240444"/>
    <w:rsid w:val="00240748"/>
    <w:rsid w:val="0024253B"/>
    <w:rsid w:val="00245BA7"/>
    <w:rsid w:val="00254D5D"/>
    <w:rsid w:val="00254D76"/>
    <w:rsid w:val="00257106"/>
    <w:rsid w:val="002573BA"/>
    <w:rsid w:val="00262507"/>
    <w:rsid w:val="002666C5"/>
    <w:rsid w:val="002672BF"/>
    <w:rsid w:val="002706EC"/>
    <w:rsid w:val="00272DF3"/>
    <w:rsid w:val="00273522"/>
    <w:rsid w:val="0027381B"/>
    <w:rsid w:val="00276A9B"/>
    <w:rsid w:val="00280332"/>
    <w:rsid w:val="00280488"/>
    <w:rsid w:val="00281EE3"/>
    <w:rsid w:val="00282F07"/>
    <w:rsid w:val="00283C80"/>
    <w:rsid w:val="00284F67"/>
    <w:rsid w:val="00285FF9"/>
    <w:rsid w:val="00292C5B"/>
    <w:rsid w:val="00293BA4"/>
    <w:rsid w:val="0029630C"/>
    <w:rsid w:val="00296F3A"/>
    <w:rsid w:val="002A1C84"/>
    <w:rsid w:val="002A434B"/>
    <w:rsid w:val="002A5022"/>
    <w:rsid w:val="002A5265"/>
    <w:rsid w:val="002B321D"/>
    <w:rsid w:val="002B6856"/>
    <w:rsid w:val="002C5265"/>
    <w:rsid w:val="002D259F"/>
    <w:rsid w:val="002D3A8D"/>
    <w:rsid w:val="002E1FAF"/>
    <w:rsid w:val="002E4FBC"/>
    <w:rsid w:val="002F489F"/>
    <w:rsid w:val="002F66A2"/>
    <w:rsid w:val="002F717C"/>
    <w:rsid w:val="00300E98"/>
    <w:rsid w:val="003036FE"/>
    <w:rsid w:val="003047FE"/>
    <w:rsid w:val="0031156A"/>
    <w:rsid w:val="00314E87"/>
    <w:rsid w:val="003153DC"/>
    <w:rsid w:val="003212DE"/>
    <w:rsid w:val="0032435C"/>
    <w:rsid w:val="003262BF"/>
    <w:rsid w:val="00327152"/>
    <w:rsid w:val="00331568"/>
    <w:rsid w:val="00333131"/>
    <w:rsid w:val="003406BE"/>
    <w:rsid w:val="003415B1"/>
    <w:rsid w:val="00345F62"/>
    <w:rsid w:val="00350A06"/>
    <w:rsid w:val="0035639C"/>
    <w:rsid w:val="00363FB4"/>
    <w:rsid w:val="0036424B"/>
    <w:rsid w:val="00365146"/>
    <w:rsid w:val="0036654B"/>
    <w:rsid w:val="0036665C"/>
    <w:rsid w:val="003674B0"/>
    <w:rsid w:val="00367863"/>
    <w:rsid w:val="00377CF5"/>
    <w:rsid w:val="00381767"/>
    <w:rsid w:val="00381A81"/>
    <w:rsid w:val="00381BFF"/>
    <w:rsid w:val="00382241"/>
    <w:rsid w:val="00382A6A"/>
    <w:rsid w:val="00385C70"/>
    <w:rsid w:val="003926A2"/>
    <w:rsid w:val="003960FE"/>
    <w:rsid w:val="003A154D"/>
    <w:rsid w:val="003A1A25"/>
    <w:rsid w:val="003A7B07"/>
    <w:rsid w:val="003B16DF"/>
    <w:rsid w:val="003B178B"/>
    <w:rsid w:val="003B1BF6"/>
    <w:rsid w:val="003B1CF4"/>
    <w:rsid w:val="003B6404"/>
    <w:rsid w:val="003B7A3F"/>
    <w:rsid w:val="003C3506"/>
    <w:rsid w:val="003D514D"/>
    <w:rsid w:val="003D5644"/>
    <w:rsid w:val="003D58F9"/>
    <w:rsid w:val="003D61D0"/>
    <w:rsid w:val="003D6F56"/>
    <w:rsid w:val="003E092B"/>
    <w:rsid w:val="003E2281"/>
    <w:rsid w:val="003E229B"/>
    <w:rsid w:val="003E25B2"/>
    <w:rsid w:val="003E42E7"/>
    <w:rsid w:val="003E78EF"/>
    <w:rsid w:val="003F0212"/>
    <w:rsid w:val="003F1BDD"/>
    <w:rsid w:val="003F48E1"/>
    <w:rsid w:val="003F5C98"/>
    <w:rsid w:val="00402928"/>
    <w:rsid w:val="00403BF7"/>
    <w:rsid w:val="004043B9"/>
    <w:rsid w:val="00405321"/>
    <w:rsid w:val="00405739"/>
    <w:rsid w:val="00405BFB"/>
    <w:rsid w:val="0040757B"/>
    <w:rsid w:val="00410A90"/>
    <w:rsid w:val="00413DDD"/>
    <w:rsid w:val="0041461C"/>
    <w:rsid w:val="00420337"/>
    <w:rsid w:val="00421326"/>
    <w:rsid w:val="00433792"/>
    <w:rsid w:val="004356D5"/>
    <w:rsid w:val="0044069B"/>
    <w:rsid w:val="00441894"/>
    <w:rsid w:val="00441C55"/>
    <w:rsid w:val="00442B55"/>
    <w:rsid w:val="00443AF8"/>
    <w:rsid w:val="00446924"/>
    <w:rsid w:val="00446A60"/>
    <w:rsid w:val="00450719"/>
    <w:rsid w:val="004507B2"/>
    <w:rsid w:val="00452273"/>
    <w:rsid w:val="0045472E"/>
    <w:rsid w:val="00454A97"/>
    <w:rsid w:val="00455982"/>
    <w:rsid w:val="004559BE"/>
    <w:rsid w:val="004562DE"/>
    <w:rsid w:val="00456EC9"/>
    <w:rsid w:val="00457E21"/>
    <w:rsid w:val="00460C55"/>
    <w:rsid w:val="0046289A"/>
    <w:rsid w:val="0046682D"/>
    <w:rsid w:val="00473678"/>
    <w:rsid w:val="004743E8"/>
    <w:rsid w:val="0047660B"/>
    <w:rsid w:val="00477932"/>
    <w:rsid w:val="00481A24"/>
    <w:rsid w:val="004916BC"/>
    <w:rsid w:val="00491940"/>
    <w:rsid w:val="00492347"/>
    <w:rsid w:val="00493E4C"/>
    <w:rsid w:val="0049480C"/>
    <w:rsid w:val="00495CCA"/>
    <w:rsid w:val="004A05EF"/>
    <w:rsid w:val="004A0758"/>
    <w:rsid w:val="004A0F1E"/>
    <w:rsid w:val="004B3298"/>
    <w:rsid w:val="004B4D9B"/>
    <w:rsid w:val="004B5C6A"/>
    <w:rsid w:val="004B75B8"/>
    <w:rsid w:val="004C2AF6"/>
    <w:rsid w:val="004C337F"/>
    <w:rsid w:val="004D0767"/>
    <w:rsid w:val="004D1D54"/>
    <w:rsid w:val="004D5F55"/>
    <w:rsid w:val="004D60E2"/>
    <w:rsid w:val="004D6CA9"/>
    <w:rsid w:val="004F1315"/>
    <w:rsid w:val="004F2F48"/>
    <w:rsid w:val="00503D7C"/>
    <w:rsid w:val="00504C3E"/>
    <w:rsid w:val="005055AE"/>
    <w:rsid w:val="00505F08"/>
    <w:rsid w:val="00510DBB"/>
    <w:rsid w:val="00513A34"/>
    <w:rsid w:val="005160C1"/>
    <w:rsid w:val="0051631D"/>
    <w:rsid w:val="005236ED"/>
    <w:rsid w:val="00531833"/>
    <w:rsid w:val="00532454"/>
    <w:rsid w:val="00532A2D"/>
    <w:rsid w:val="00532A57"/>
    <w:rsid w:val="0053388D"/>
    <w:rsid w:val="00536A74"/>
    <w:rsid w:val="00540208"/>
    <w:rsid w:val="00541DE4"/>
    <w:rsid w:val="0054718A"/>
    <w:rsid w:val="00550177"/>
    <w:rsid w:val="00552FDE"/>
    <w:rsid w:val="00553EB5"/>
    <w:rsid w:val="00554492"/>
    <w:rsid w:val="0055659E"/>
    <w:rsid w:val="005570B6"/>
    <w:rsid w:val="00560D66"/>
    <w:rsid w:val="0056177F"/>
    <w:rsid w:val="005619CA"/>
    <w:rsid w:val="00564BAA"/>
    <w:rsid w:val="0056611D"/>
    <w:rsid w:val="00570B71"/>
    <w:rsid w:val="00574032"/>
    <w:rsid w:val="0057420E"/>
    <w:rsid w:val="0057473B"/>
    <w:rsid w:val="00582038"/>
    <w:rsid w:val="00583501"/>
    <w:rsid w:val="0058520D"/>
    <w:rsid w:val="00586ECD"/>
    <w:rsid w:val="00587450"/>
    <w:rsid w:val="005878CF"/>
    <w:rsid w:val="00590521"/>
    <w:rsid w:val="005906E9"/>
    <w:rsid w:val="00590DE8"/>
    <w:rsid w:val="005921CA"/>
    <w:rsid w:val="00592F2E"/>
    <w:rsid w:val="005942B1"/>
    <w:rsid w:val="00596F45"/>
    <w:rsid w:val="0059717F"/>
    <w:rsid w:val="005A25A8"/>
    <w:rsid w:val="005B2F75"/>
    <w:rsid w:val="005B5377"/>
    <w:rsid w:val="005B542C"/>
    <w:rsid w:val="005C0175"/>
    <w:rsid w:val="005C0B0D"/>
    <w:rsid w:val="005C3B68"/>
    <w:rsid w:val="005C5572"/>
    <w:rsid w:val="005C6244"/>
    <w:rsid w:val="005C6C00"/>
    <w:rsid w:val="005D0C80"/>
    <w:rsid w:val="005D5E1D"/>
    <w:rsid w:val="005D7F7C"/>
    <w:rsid w:val="005E053A"/>
    <w:rsid w:val="005E05D8"/>
    <w:rsid w:val="005E0A5F"/>
    <w:rsid w:val="005E0B9C"/>
    <w:rsid w:val="005E120B"/>
    <w:rsid w:val="005E326B"/>
    <w:rsid w:val="005E6B92"/>
    <w:rsid w:val="005E797F"/>
    <w:rsid w:val="005F3A22"/>
    <w:rsid w:val="005F7003"/>
    <w:rsid w:val="006010FA"/>
    <w:rsid w:val="00603165"/>
    <w:rsid w:val="00605254"/>
    <w:rsid w:val="006149AC"/>
    <w:rsid w:val="006149E9"/>
    <w:rsid w:val="00614B11"/>
    <w:rsid w:val="00615B15"/>
    <w:rsid w:val="00616099"/>
    <w:rsid w:val="00621B9C"/>
    <w:rsid w:val="00622C41"/>
    <w:rsid w:val="00623991"/>
    <w:rsid w:val="00625549"/>
    <w:rsid w:val="0062655E"/>
    <w:rsid w:val="006268F8"/>
    <w:rsid w:val="00626CE5"/>
    <w:rsid w:val="00630A24"/>
    <w:rsid w:val="006320CE"/>
    <w:rsid w:val="006351CA"/>
    <w:rsid w:val="00635475"/>
    <w:rsid w:val="006377F5"/>
    <w:rsid w:val="00641A49"/>
    <w:rsid w:val="0065097B"/>
    <w:rsid w:val="006517A4"/>
    <w:rsid w:val="00652DF2"/>
    <w:rsid w:val="00657FDE"/>
    <w:rsid w:val="00663032"/>
    <w:rsid w:val="00664457"/>
    <w:rsid w:val="006649B6"/>
    <w:rsid w:val="00664A56"/>
    <w:rsid w:val="00666B8D"/>
    <w:rsid w:val="00666E48"/>
    <w:rsid w:val="00666F0E"/>
    <w:rsid w:val="00671320"/>
    <w:rsid w:val="006713CF"/>
    <w:rsid w:val="00672F9F"/>
    <w:rsid w:val="00675305"/>
    <w:rsid w:val="00677766"/>
    <w:rsid w:val="00683EEE"/>
    <w:rsid w:val="00686653"/>
    <w:rsid w:val="00686E02"/>
    <w:rsid w:val="00687905"/>
    <w:rsid w:val="00687BC9"/>
    <w:rsid w:val="0069627B"/>
    <w:rsid w:val="0069740C"/>
    <w:rsid w:val="006A17B3"/>
    <w:rsid w:val="006A28B1"/>
    <w:rsid w:val="006A4C80"/>
    <w:rsid w:val="006A6CDA"/>
    <w:rsid w:val="006B069A"/>
    <w:rsid w:val="006B0844"/>
    <w:rsid w:val="006B197B"/>
    <w:rsid w:val="006B25A3"/>
    <w:rsid w:val="006D136F"/>
    <w:rsid w:val="006D3890"/>
    <w:rsid w:val="006D5B3E"/>
    <w:rsid w:val="006D789C"/>
    <w:rsid w:val="006E01A7"/>
    <w:rsid w:val="006E5241"/>
    <w:rsid w:val="006F3100"/>
    <w:rsid w:val="0070297B"/>
    <w:rsid w:val="00702CF7"/>
    <w:rsid w:val="007040EB"/>
    <w:rsid w:val="00712F68"/>
    <w:rsid w:val="00715BFE"/>
    <w:rsid w:val="00715D9E"/>
    <w:rsid w:val="00722C50"/>
    <w:rsid w:val="00735B80"/>
    <w:rsid w:val="00740D56"/>
    <w:rsid w:val="00742DD6"/>
    <w:rsid w:val="00743EF5"/>
    <w:rsid w:val="00744926"/>
    <w:rsid w:val="00745168"/>
    <w:rsid w:val="007461F5"/>
    <w:rsid w:val="00751F7A"/>
    <w:rsid w:val="00756E24"/>
    <w:rsid w:val="00760533"/>
    <w:rsid w:val="0076294D"/>
    <w:rsid w:val="00762F6C"/>
    <w:rsid w:val="007643A5"/>
    <w:rsid w:val="007803CF"/>
    <w:rsid w:val="00780650"/>
    <w:rsid w:val="0078185A"/>
    <w:rsid w:val="00782849"/>
    <w:rsid w:val="00783002"/>
    <w:rsid w:val="00784CB6"/>
    <w:rsid w:val="007903EF"/>
    <w:rsid w:val="00793A6D"/>
    <w:rsid w:val="00795A88"/>
    <w:rsid w:val="00797EDD"/>
    <w:rsid w:val="007A1308"/>
    <w:rsid w:val="007A316F"/>
    <w:rsid w:val="007A60EF"/>
    <w:rsid w:val="007B5068"/>
    <w:rsid w:val="007B5DF5"/>
    <w:rsid w:val="007C18AE"/>
    <w:rsid w:val="007C219D"/>
    <w:rsid w:val="007C2D39"/>
    <w:rsid w:val="007C31FC"/>
    <w:rsid w:val="007C6037"/>
    <w:rsid w:val="007C6B53"/>
    <w:rsid w:val="007C7055"/>
    <w:rsid w:val="007C7168"/>
    <w:rsid w:val="007D19C3"/>
    <w:rsid w:val="007D4AD0"/>
    <w:rsid w:val="007D524D"/>
    <w:rsid w:val="007D6524"/>
    <w:rsid w:val="007D7506"/>
    <w:rsid w:val="007E2C32"/>
    <w:rsid w:val="007E3599"/>
    <w:rsid w:val="007E38C7"/>
    <w:rsid w:val="007E3FE4"/>
    <w:rsid w:val="007E4F43"/>
    <w:rsid w:val="007E61A3"/>
    <w:rsid w:val="007F2CA1"/>
    <w:rsid w:val="007F35EE"/>
    <w:rsid w:val="007F6723"/>
    <w:rsid w:val="007F781A"/>
    <w:rsid w:val="0080015E"/>
    <w:rsid w:val="00804BD4"/>
    <w:rsid w:val="00804CB2"/>
    <w:rsid w:val="00804F81"/>
    <w:rsid w:val="00806A5A"/>
    <w:rsid w:val="00807F38"/>
    <w:rsid w:val="00811247"/>
    <w:rsid w:val="00811B83"/>
    <w:rsid w:val="00812BCB"/>
    <w:rsid w:val="008131EB"/>
    <w:rsid w:val="00814D03"/>
    <w:rsid w:val="00817089"/>
    <w:rsid w:val="0082012D"/>
    <w:rsid w:val="008207D6"/>
    <w:rsid w:val="00823C8A"/>
    <w:rsid w:val="008264B0"/>
    <w:rsid w:val="008269EC"/>
    <w:rsid w:val="00834256"/>
    <w:rsid w:val="00834BFC"/>
    <w:rsid w:val="00835251"/>
    <w:rsid w:val="00841942"/>
    <w:rsid w:val="00841EB8"/>
    <w:rsid w:val="008423A2"/>
    <w:rsid w:val="0085019B"/>
    <w:rsid w:val="008503DA"/>
    <w:rsid w:val="008507C5"/>
    <w:rsid w:val="00851599"/>
    <w:rsid w:val="008525F1"/>
    <w:rsid w:val="00854783"/>
    <w:rsid w:val="008562AA"/>
    <w:rsid w:val="00857BB5"/>
    <w:rsid w:val="008639F8"/>
    <w:rsid w:val="00863DB2"/>
    <w:rsid w:val="00864D9F"/>
    <w:rsid w:val="00867D62"/>
    <w:rsid w:val="0087072D"/>
    <w:rsid w:val="00874CD2"/>
    <w:rsid w:val="0087591C"/>
    <w:rsid w:val="00876285"/>
    <w:rsid w:val="008809DE"/>
    <w:rsid w:val="00884F6C"/>
    <w:rsid w:val="00887910"/>
    <w:rsid w:val="00890EEA"/>
    <w:rsid w:val="00891B97"/>
    <w:rsid w:val="00894564"/>
    <w:rsid w:val="008968F0"/>
    <w:rsid w:val="00897C7E"/>
    <w:rsid w:val="008A1F52"/>
    <w:rsid w:val="008A2894"/>
    <w:rsid w:val="008A52FF"/>
    <w:rsid w:val="008B050E"/>
    <w:rsid w:val="008B2007"/>
    <w:rsid w:val="008B78A8"/>
    <w:rsid w:val="008C408E"/>
    <w:rsid w:val="008C40C8"/>
    <w:rsid w:val="008C48C1"/>
    <w:rsid w:val="008C5859"/>
    <w:rsid w:val="008D1071"/>
    <w:rsid w:val="008D1501"/>
    <w:rsid w:val="008D152A"/>
    <w:rsid w:val="008D1C9C"/>
    <w:rsid w:val="008D20EB"/>
    <w:rsid w:val="008D257C"/>
    <w:rsid w:val="008D3573"/>
    <w:rsid w:val="008D61ED"/>
    <w:rsid w:val="008D719A"/>
    <w:rsid w:val="008E2FCF"/>
    <w:rsid w:val="008E4364"/>
    <w:rsid w:val="008E756C"/>
    <w:rsid w:val="008F37F6"/>
    <w:rsid w:val="008F579F"/>
    <w:rsid w:val="008F7021"/>
    <w:rsid w:val="008F726B"/>
    <w:rsid w:val="00900A4B"/>
    <w:rsid w:val="00911146"/>
    <w:rsid w:val="00911E1D"/>
    <w:rsid w:val="00915BFB"/>
    <w:rsid w:val="00917435"/>
    <w:rsid w:val="00917BFA"/>
    <w:rsid w:val="00921A1C"/>
    <w:rsid w:val="0092310E"/>
    <w:rsid w:val="00931D94"/>
    <w:rsid w:val="00933CCA"/>
    <w:rsid w:val="00934415"/>
    <w:rsid w:val="009349A3"/>
    <w:rsid w:val="0093571E"/>
    <w:rsid w:val="0094021E"/>
    <w:rsid w:val="00941123"/>
    <w:rsid w:val="0094561D"/>
    <w:rsid w:val="00946D10"/>
    <w:rsid w:val="00950311"/>
    <w:rsid w:val="00957DB2"/>
    <w:rsid w:val="00966C4B"/>
    <w:rsid w:val="00971758"/>
    <w:rsid w:val="009725F5"/>
    <w:rsid w:val="009753E6"/>
    <w:rsid w:val="00975829"/>
    <w:rsid w:val="00977A60"/>
    <w:rsid w:val="009809FF"/>
    <w:rsid w:val="00984F24"/>
    <w:rsid w:val="00985D3E"/>
    <w:rsid w:val="00986EEE"/>
    <w:rsid w:val="009910A3"/>
    <w:rsid w:val="00994B3B"/>
    <w:rsid w:val="009960BF"/>
    <w:rsid w:val="00996F41"/>
    <w:rsid w:val="00997FA9"/>
    <w:rsid w:val="009A0B2F"/>
    <w:rsid w:val="009A2948"/>
    <w:rsid w:val="009A3B59"/>
    <w:rsid w:val="009A4490"/>
    <w:rsid w:val="009A4850"/>
    <w:rsid w:val="009A6B28"/>
    <w:rsid w:val="009B0AC2"/>
    <w:rsid w:val="009B1154"/>
    <w:rsid w:val="009B2F16"/>
    <w:rsid w:val="009B468E"/>
    <w:rsid w:val="009B64CA"/>
    <w:rsid w:val="009C0138"/>
    <w:rsid w:val="009C1506"/>
    <w:rsid w:val="009C5588"/>
    <w:rsid w:val="009C57B2"/>
    <w:rsid w:val="009C7162"/>
    <w:rsid w:val="009D0E1D"/>
    <w:rsid w:val="009D340A"/>
    <w:rsid w:val="009D6AD2"/>
    <w:rsid w:val="009E07FF"/>
    <w:rsid w:val="009E5A43"/>
    <w:rsid w:val="009E61C7"/>
    <w:rsid w:val="009E62AD"/>
    <w:rsid w:val="009F0A8D"/>
    <w:rsid w:val="009F31DD"/>
    <w:rsid w:val="009F74A3"/>
    <w:rsid w:val="00A0005E"/>
    <w:rsid w:val="00A00D78"/>
    <w:rsid w:val="00A03A0C"/>
    <w:rsid w:val="00A046AC"/>
    <w:rsid w:val="00A05505"/>
    <w:rsid w:val="00A063CC"/>
    <w:rsid w:val="00A07D6C"/>
    <w:rsid w:val="00A2087E"/>
    <w:rsid w:val="00A21AA6"/>
    <w:rsid w:val="00A2205A"/>
    <w:rsid w:val="00A22154"/>
    <w:rsid w:val="00A22479"/>
    <w:rsid w:val="00A24059"/>
    <w:rsid w:val="00A25023"/>
    <w:rsid w:val="00A25294"/>
    <w:rsid w:val="00A25440"/>
    <w:rsid w:val="00A2576B"/>
    <w:rsid w:val="00A3076F"/>
    <w:rsid w:val="00A34617"/>
    <w:rsid w:val="00A37977"/>
    <w:rsid w:val="00A43AC6"/>
    <w:rsid w:val="00A46DAA"/>
    <w:rsid w:val="00A51FC6"/>
    <w:rsid w:val="00A57B1E"/>
    <w:rsid w:val="00A6254D"/>
    <w:rsid w:val="00A65A2C"/>
    <w:rsid w:val="00A66E9B"/>
    <w:rsid w:val="00A6745A"/>
    <w:rsid w:val="00A71C5C"/>
    <w:rsid w:val="00A7309D"/>
    <w:rsid w:val="00A73B35"/>
    <w:rsid w:val="00A7678B"/>
    <w:rsid w:val="00A81899"/>
    <w:rsid w:val="00A908F3"/>
    <w:rsid w:val="00A909B8"/>
    <w:rsid w:val="00A91FFC"/>
    <w:rsid w:val="00A92EA6"/>
    <w:rsid w:val="00A943FC"/>
    <w:rsid w:val="00A96D35"/>
    <w:rsid w:val="00AA123A"/>
    <w:rsid w:val="00AA1D3E"/>
    <w:rsid w:val="00AA2561"/>
    <w:rsid w:val="00AA5668"/>
    <w:rsid w:val="00AB0851"/>
    <w:rsid w:val="00AB2F35"/>
    <w:rsid w:val="00AB6A34"/>
    <w:rsid w:val="00AB6E0F"/>
    <w:rsid w:val="00AC66AB"/>
    <w:rsid w:val="00AC6E86"/>
    <w:rsid w:val="00AC7F83"/>
    <w:rsid w:val="00AD3316"/>
    <w:rsid w:val="00AE0223"/>
    <w:rsid w:val="00AE215C"/>
    <w:rsid w:val="00AE480F"/>
    <w:rsid w:val="00AE6F58"/>
    <w:rsid w:val="00AF0A53"/>
    <w:rsid w:val="00AF3D82"/>
    <w:rsid w:val="00AF678F"/>
    <w:rsid w:val="00B0185A"/>
    <w:rsid w:val="00B0203E"/>
    <w:rsid w:val="00B038A6"/>
    <w:rsid w:val="00B03B1C"/>
    <w:rsid w:val="00B05755"/>
    <w:rsid w:val="00B06E31"/>
    <w:rsid w:val="00B115F6"/>
    <w:rsid w:val="00B131F5"/>
    <w:rsid w:val="00B21A11"/>
    <w:rsid w:val="00B232EA"/>
    <w:rsid w:val="00B30523"/>
    <w:rsid w:val="00B30847"/>
    <w:rsid w:val="00B40371"/>
    <w:rsid w:val="00B432EF"/>
    <w:rsid w:val="00B45F31"/>
    <w:rsid w:val="00B47211"/>
    <w:rsid w:val="00B50336"/>
    <w:rsid w:val="00B60814"/>
    <w:rsid w:val="00B6428B"/>
    <w:rsid w:val="00B65ABA"/>
    <w:rsid w:val="00B756C4"/>
    <w:rsid w:val="00B8271A"/>
    <w:rsid w:val="00B830D3"/>
    <w:rsid w:val="00B833E6"/>
    <w:rsid w:val="00B83568"/>
    <w:rsid w:val="00B8379A"/>
    <w:rsid w:val="00B84239"/>
    <w:rsid w:val="00B86CA2"/>
    <w:rsid w:val="00B9070E"/>
    <w:rsid w:val="00B90992"/>
    <w:rsid w:val="00B935C4"/>
    <w:rsid w:val="00B944EC"/>
    <w:rsid w:val="00BA7C9F"/>
    <w:rsid w:val="00BB2374"/>
    <w:rsid w:val="00BB2C88"/>
    <w:rsid w:val="00BB7F5D"/>
    <w:rsid w:val="00BC0E2E"/>
    <w:rsid w:val="00BC3DD3"/>
    <w:rsid w:val="00BC439C"/>
    <w:rsid w:val="00BC6458"/>
    <w:rsid w:val="00BC6682"/>
    <w:rsid w:val="00BD2CD3"/>
    <w:rsid w:val="00BD3578"/>
    <w:rsid w:val="00BD68F6"/>
    <w:rsid w:val="00BD7080"/>
    <w:rsid w:val="00BE4145"/>
    <w:rsid w:val="00BE46A4"/>
    <w:rsid w:val="00BE48E7"/>
    <w:rsid w:val="00BF18E6"/>
    <w:rsid w:val="00BF2E4D"/>
    <w:rsid w:val="00BF6AF0"/>
    <w:rsid w:val="00C014DE"/>
    <w:rsid w:val="00C07A8C"/>
    <w:rsid w:val="00C10120"/>
    <w:rsid w:val="00C1471F"/>
    <w:rsid w:val="00C16201"/>
    <w:rsid w:val="00C1665E"/>
    <w:rsid w:val="00C17AF8"/>
    <w:rsid w:val="00C232DA"/>
    <w:rsid w:val="00C25A55"/>
    <w:rsid w:val="00C30C93"/>
    <w:rsid w:val="00C33476"/>
    <w:rsid w:val="00C407C2"/>
    <w:rsid w:val="00C522FB"/>
    <w:rsid w:val="00C567E7"/>
    <w:rsid w:val="00C56B47"/>
    <w:rsid w:val="00C62A9F"/>
    <w:rsid w:val="00C64823"/>
    <w:rsid w:val="00C66F9C"/>
    <w:rsid w:val="00C67988"/>
    <w:rsid w:val="00C70993"/>
    <w:rsid w:val="00C730FB"/>
    <w:rsid w:val="00C77119"/>
    <w:rsid w:val="00C81D4D"/>
    <w:rsid w:val="00C83616"/>
    <w:rsid w:val="00C85806"/>
    <w:rsid w:val="00C865F5"/>
    <w:rsid w:val="00C94107"/>
    <w:rsid w:val="00C953CD"/>
    <w:rsid w:val="00CA126C"/>
    <w:rsid w:val="00CA164E"/>
    <w:rsid w:val="00CA226F"/>
    <w:rsid w:val="00CA479D"/>
    <w:rsid w:val="00CA6825"/>
    <w:rsid w:val="00CB031F"/>
    <w:rsid w:val="00CB0F06"/>
    <w:rsid w:val="00CB363B"/>
    <w:rsid w:val="00CB3C54"/>
    <w:rsid w:val="00CB455D"/>
    <w:rsid w:val="00CB659E"/>
    <w:rsid w:val="00CB671F"/>
    <w:rsid w:val="00CC285C"/>
    <w:rsid w:val="00CD05CD"/>
    <w:rsid w:val="00CD580E"/>
    <w:rsid w:val="00CD654E"/>
    <w:rsid w:val="00CD6F3A"/>
    <w:rsid w:val="00CE1DA4"/>
    <w:rsid w:val="00CE2C0F"/>
    <w:rsid w:val="00CE37DD"/>
    <w:rsid w:val="00CE6322"/>
    <w:rsid w:val="00CE633A"/>
    <w:rsid w:val="00CE6C8E"/>
    <w:rsid w:val="00CF107B"/>
    <w:rsid w:val="00CF5255"/>
    <w:rsid w:val="00CF6F76"/>
    <w:rsid w:val="00CF7588"/>
    <w:rsid w:val="00D009B5"/>
    <w:rsid w:val="00D06D93"/>
    <w:rsid w:val="00D10E10"/>
    <w:rsid w:val="00D11CE9"/>
    <w:rsid w:val="00D128DF"/>
    <w:rsid w:val="00D129BA"/>
    <w:rsid w:val="00D263AE"/>
    <w:rsid w:val="00D26DD4"/>
    <w:rsid w:val="00D325E6"/>
    <w:rsid w:val="00D368B1"/>
    <w:rsid w:val="00D402A2"/>
    <w:rsid w:val="00D40604"/>
    <w:rsid w:val="00D41354"/>
    <w:rsid w:val="00D4328C"/>
    <w:rsid w:val="00D45D3F"/>
    <w:rsid w:val="00D46038"/>
    <w:rsid w:val="00D50C5B"/>
    <w:rsid w:val="00D51880"/>
    <w:rsid w:val="00D52DDC"/>
    <w:rsid w:val="00D53D94"/>
    <w:rsid w:val="00D56C46"/>
    <w:rsid w:val="00D64BE3"/>
    <w:rsid w:val="00D64D7F"/>
    <w:rsid w:val="00D65EF1"/>
    <w:rsid w:val="00D679A0"/>
    <w:rsid w:val="00D67DFA"/>
    <w:rsid w:val="00D71E61"/>
    <w:rsid w:val="00D7396D"/>
    <w:rsid w:val="00D8018A"/>
    <w:rsid w:val="00D80252"/>
    <w:rsid w:val="00D80DE4"/>
    <w:rsid w:val="00D82A4B"/>
    <w:rsid w:val="00D82EDB"/>
    <w:rsid w:val="00D84ACF"/>
    <w:rsid w:val="00D87A26"/>
    <w:rsid w:val="00D87DE2"/>
    <w:rsid w:val="00D95E92"/>
    <w:rsid w:val="00D9660F"/>
    <w:rsid w:val="00DA053C"/>
    <w:rsid w:val="00DA2256"/>
    <w:rsid w:val="00DA3A70"/>
    <w:rsid w:val="00DA3B5C"/>
    <w:rsid w:val="00DA6C0A"/>
    <w:rsid w:val="00DA7921"/>
    <w:rsid w:val="00DB0BB9"/>
    <w:rsid w:val="00DB4285"/>
    <w:rsid w:val="00DB429E"/>
    <w:rsid w:val="00DB5426"/>
    <w:rsid w:val="00DB742F"/>
    <w:rsid w:val="00DB7CE8"/>
    <w:rsid w:val="00DC4567"/>
    <w:rsid w:val="00DD58C6"/>
    <w:rsid w:val="00DD6B00"/>
    <w:rsid w:val="00DD74A4"/>
    <w:rsid w:val="00DE16A6"/>
    <w:rsid w:val="00DE753E"/>
    <w:rsid w:val="00DE774F"/>
    <w:rsid w:val="00DF328B"/>
    <w:rsid w:val="00DF625C"/>
    <w:rsid w:val="00E01C3E"/>
    <w:rsid w:val="00E01F35"/>
    <w:rsid w:val="00E03AFB"/>
    <w:rsid w:val="00E05155"/>
    <w:rsid w:val="00E074BC"/>
    <w:rsid w:val="00E0758C"/>
    <w:rsid w:val="00E10B0F"/>
    <w:rsid w:val="00E10E10"/>
    <w:rsid w:val="00E144B5"/>
    <w:rsid w:val="00E20115"/>
    <w:rsid w:val="00E2087A"/>
    <w:rsid w:val="00E223F2"/>
    <w:rsid w:val="00E22825"/>
    <w:rsid w:val="00E22A41"/>
    <w:rsid w:val="00E23B89"/>
    <w:rsid w:val="00E24CBF"/>
    <w:rsid w:val="00E262FF"/>
    <w:rsid w:val="00E26335"/>
    <w:rsid w:val="00E315A1"/>
    <w:rsid w:val="00E31BBA"/>
    <w:rsid w:val="00E33158"/>
    <w:rsid w:val="00E33393"/>
    <w:rsid w:val="00E358D3"/>
    <w:rsid w:val="00E41D80"/>
    <w:rsid w:val="00E41E75"/>
    <w:rsid w:val="00E43859"/>
    <w:rsid w:val="00E444B7"/>
    <w:rsid w:val="00E448D8"/>
    <w:rsid w:val="00E45CAF"/>
    <w:rsid w:val="00E52C4A"/>
    <w:rsid w:val="00E53B93"/>
    <w:rsid w:val="00E55242"/>
    <w:rsid w:val="00E616AF"/>
    <w:rsid w:val="00E67369"/>
    <w:rsid w:val="00E709D1"/>
    <w:rsid w:val="00E71410"/>
    <w:rsid w:val="00E71937"/>
    <w:rsid w:val="00E75997"/>
    <w:rsid w:val="00E810BD"/>
    <w:rsid w:val="00E844C7"/>
    <w:rsid w:val="00E9304B"/>
    <w:rsid w:val="00E93F7C"/>
    <w:rsid w:val="00E94E74"/>
    <w:rsid w:val="00EA0CD6"/>
    <w:rsid w:val="00EB1D48"/>
    <w:rsid w:val="00EB696D"/>
    <w:rsid w:val="00EC1982"/>
    <w:rsid w:val="00EC252D"/>
    <w:rsid w:val="00ED011F"/>
    <w:rsid w:val="00ED1FD8"/>
    <w:rsid w:val="00ED3365"/>
    <w:rsid w:val="00ED7054"/>
    <w:rsid w:val="00ED7275"/>
    <w:rsid w:val="00EE35B5"/>
    <w:rsid w:val="00EE377C"/>
    <w:rsid w:val="00EF1007"/>
    <w:rsid w:val="00EF1735"/>
    <w:rsid w:val="00EF5623"/>
    <w:rsid w:val="00EF76C5"/>
    <w:rsid w:val="00F03D20"/>
    <w:rsid w:val="00F06A83"/>
    <w:rsid w:val="00F13AA9"/>
    <w:rsid w:val="00F1431A"/>
    <w:rsid w:val="00F1707D"/>
    <w:rsid w:val="00F20C4E"/>
    <w:rsid w:val="00F25D69"/>
    <w:rsid w:val="00F32CED"/>
    <w:rsid w:val="00F331FB"/>
    <w:rsid w:val="00F34869"/>
    <w:rsid w:val="00F34D83"/>
    <w:rsid w:val="00F36C76"/>
    <w:rsid w:val="00F40D56"/>
    <w:rsid w:val="00F4130A"/>
    <w:rsid w:val="00F43771"/>
    <w:rsid w:val="00F46008"/>
    <w:rsid w:val="00F47254"/>
    <w:rsid w:val="00F50FB6"/>
    <w:rsid w:val="00F544C1"/>
    <w:rsid w:val="00F57A95"/>
    <w:rsid w:val="00F61534"/>
    <w:rsid w:val="00F61850"/>
    <w:rsid w:val="00F62B2A"/>
    <w:rsid w:val="00F62B4A"/>
    <w:rsid w:val="00F62E6E"/>
    <w:rsid w:val="00F637E3"/>
    <w:rsid w:val="00F66DCA"/>
    <w:rsid w:val="00F67B1A"/>
    <w:rsid w:val="00F708C9"/>
    <w:rsid w:val="00F70941"/>
    <w:rsid w:val="00F718BB"/>
    <w:rsid w:val="00F71A9A"/>
    <w:rsid w:val="00F71BEE"/>
    <w:rsid w:val="00F72E6C"/>
    <w:rsid w:val="00F7612F"/>
    <w:rsid w:val="00F77A69"/>
    <w:rsid w:val="00F849B1"/>
    <w:rsid w:val="00F84A6F"/>
    <w:rsid w:val="00F84B3D"/>
    <w:rsid w:val="00F87F95"/>
    <w:rsid w:val="00F91A5C"/>
    <w:rsid w:val="00F93920"/>
    <w:rsid w:val="00F95C65"/>
    <w:rsid w:val="00FA1942"/>
    <w:rsid w:val="00FA1D9A"/>
    <w:rsid w:val="00FA22D8"/>
    <w:rsid w:val="00FA543C"/>
    <w:rsid w:val="00FA6005"/>
    <w:rsid w:val="00FA6510"/>
    <w:rsid w:val="00FA6AD2"/>
    <w:rsid w:val="00FB637B"/>
    <w:rsid w:val="00FB6436"/>
    <w:rsid w:val="00FB764A"/>
    <w:rsid w:val="00FC04B6"/>
    <w:rsid w:val="00FC1C9A"/>
    <w:rsid w:val="00FC1D6D"/>
    <w:rsid w:val="00FC3F16"/>
    <w:rsid w:val="00FE0B7D"/>
    <w:rsid w:val="00FE1B88"/>
    <w:rsid w:val="00FE3EBD"/>
    <w:rsid w:val="00FE5605"/>
    <w:rsid w:val="00FE56CF"/>
    <w:rsid w:val="00FF29CA"/>
    <w:rsid w:val="00FF3E21"/>
    <w:rsid w:val="00FF44A3"/>
    <w:rsid w:val="00FF5B86"/>
    <w:rsid w:val="00FF63F9"/>
    <w:rsid w:val="00FF6BBB"/>
    <w:rsid w:val="00FF7982"/>
    <w:rsid w:val="397E9009"/>
    <w:rsid w:val="7BD515A3"/>
    <w:rsid w:val="EDFDEDF1"/>
    <w:rsid w:val="FB3D6972"/>
    <w:rsid w:val="FC9718DA"/>
    <w:rsid w:val="FFFFD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批注框文本 Char"/>
    <w:basedOn w:val="8"/>
    <w:link w:val="2"/>
    <w:semiHidden/>
    <w:qFormat/>
    <w:uiPriority w:val="99"/>
    <w:rPr>
      <w:sz w:val="18"/>
      <w:szCs w:val="18"/>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1234</Words>
  <Characters>7037</Characters>
  <Lines>58</Lines>
  <Paragraphs>16</Paragraphs>
  <TotalTime>26</TotalTime>
  <ScaleCrop>false</ScaleCrop>
  <LinksUpToDate>false</LinksUpToDate>
  <CharactersWithSpaces>8255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2021-06-08T10:08:00Z</dcterms:created>
  <dc:creator>费鸿志</dc:creator>
  <cp:lastModifiedBy>user</cp:lastModifiedBy>
  <cp:lastPrinted>2021-01-16T10:03:00Z</cp:lastPrinted>
  <dcterms:modified xsi:type="dcterms:W3CDTF">2021-11-01T15:21:37Z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